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6B20" w14:textId="32CC1EFA" w:rsidR="00C260A8" w:rsidRDefault="00C260A8" w:rsidP="00C260A8">
      <w:pPr>
        <w:jc w:val="right"/>
      </w:pPr>
      <w:r>
        <w:t>Võlaõigusseaduse</w:t>
      </w:r>
      <w:r w:rsidR="000D2F96">
        <w:t xml:space="preserve"> ja teiste seaduste</w:t>
      </w:r>
      <w:r>
        <w:t xml:space="preserve"> muutmise seaduse </w:t>
      </w:r>
    </w:p>
    <w:p w14:paraId="66A460DF" w14:textId="5BDEDD70" w:rsidR="00C260A8" w:rsidRDefault="000D2F96" w:rsidP="00C260A8">
      <w:pPr>
        <w:jc w:val="right"/>
      </w:pPr>
      <w:r>
        <w:t xml:space="preserve">eelnõu </w:t>
      </w:r>
      <w:r w:rsidR="00C260A8">
        <w:t>seletuskirja</w:t>
      </w:r>
      <w:r w:rsidR="00FF630F">
        <w:t xml:space="preserve"> juurde</w:t>
      </w:r>
    </w:p>
    <w:p w14:paraId="6B938F01" w14:textId="3C6CC88F" w:rsidR="00FF630F" w:rsidRDefault="00FF630F" w:rsidP="00C260A8">
      <w:pPr>
        <w:jc w:val="right"/>
      </w:pPr>
      <w:r>
        <w:t>Lisa 4</w:t>
      </w:r>
    </w:p>
    <w:p w14:paraId="0933752B" w14:textId="77777777" w:rsidR="00C260A8" w:rsidRDefault="00C260A8" w:rsidP="00C260A8">
      <w:pPr>
        <w:jc w:val="center"/>
      </w:pPr>
    </w:p>
    <w:p w14:paraId="4A22A090" w14:textId="6F61B3CE" w:rsidR="00C260A8" w:rsidRDefault="00C260A8" w:rsidP="00C260A8">
      <w:pPr>
        <w:jc w:val="center"/>
        <w:rPr>
          <w:b/>
          <w:bCs/>
        </w:rPr>
      </w:pPr>
      <w:r w:rsidRPr="00C260A8">
        <w:rPr>
          <w:b/>
          <w:bCs/>
        </w:rPr>
        <w:t>Märkuste ja ettepanekute tabel</w:t>
      </w:r>
    </w:p>
    <w:p w14:paraId="1BAC7E10" w14:textId="77777777" w:rsidR="001A3CC4" w:rsidRDefault="001A3CC4" w:rsidP="00C260A8">
      <w:pPr>
        <w:jc w:val="center"/>
        <w:rPr>
          <w:b/>
          <w:bCs/>
        </w:rPr>
      </w:pPr>
    </w:p>
    <w:tbl>
      <w:tblPr>
        <w:tblStyle w:val="Kontuurtabel"/>
        <w:tblW w:w="10632" w:type="dxa"/>
        <w:tblInd w:w="-714" w:type="dxa"/>
        <w:tblLook w:val="04A0" w:firstRow="1" w:lastRow="0" w:firstColumn="1" w:lastColumn="0" w:noHBand="0" w:noVBand="1"/>
      </w:tblPr>
      <w:tblGrid>
        <w:gridCol w:w="576"/>
        <w:gridCol w:w="5040"/>
        <w:gridCol w:w="5016"/>
      </w:tblGrid>
      <w:tr w:rsidR="00D22FD2" w14:paraId="1F6BAFF7" w14:textId="77777777" w:rsidTr="00617FBE">
        <w:tc>
          <w:tcPr>
            <w:tcW w:w="576" w:type="dxa"/>
          </w:tcPr>
          <w:p w14:paraId="001FA2E3" w14:textId="77777777" w:rsidR="001A3CC4" w:rsidRDefault="001A3CC4">
            <w:pPr>
              <w:jc w:val="center"/>
            </w:pPr>
            <w:r>
              <w:t>Nr</w:t>
            </w:r>
          </w:p>
        </w:tc>
        <w:tc>
          <w:tcPr>
            <w:tcW w:w="5040" w:type="dxa"/>
          </w:tcPr>
          <w:p w14:paraId="58B88A12" w14:textId="77777777" w:rsidR="001A3CC4" w:rsidRDefault="001A3CC4">
            <w:pPr>
              <w:jc w:val="center"/>
            </w:pPr>
            <w:r>
              <w:t>Ettepaneku/märkuse sisu</w:t>
            </w:r>
          </w:p>
        </w:tc>
        <w:tc>
          <w:tcPr>
            <w:tcW w:w="5016" w:type="dxa"/>
          </w:tcPr>
          <w:p w14:paraId="3A95C9CE" w14:textId="77777777" w:rsidR="001A3CC4" w:rsidRDefault="001A3CC4">
            <w:pPr>
              <w:jc w:val="center"/>
            </w:pPr>
            <w:r>
              <w:t>JDM seisukohad/vastused</w:t>
            </w:r>
          </w:p>
        </w:tc>
      </w:tr>
      <w:tr w:rsidR="002A6C9D" w:rsidRPr="001703A2" w14:paraId="1D3280B8" w14:textId="77777777" w:rsidTr="00617FBE">
        <w:tc>
          <w:tcPr>
            <w:tcW w:w="10632" w:type="dxa"/>
            <w:gridSpan w:val="3"/>
          </w:tcPr>
          <w:p w14:paraId="014A5F31" w14:textId="6A7CE6F2" w:rsidR="001A3CC4" w:rsidRPr="001703A2" w:rsidRDefault="00325C00">
            <w:pPr>
              <w:rPr>
                <w:b/>
                <w:bCs/>
              </w:rPr>
            </w:pPr>
            <w:r>
              <w:rPr>
                <w:b/>
                <w:bCs/>
              </w:rPr>
              <w:t xml:space="preserve">Eesti </w:t>
            </w:r>
            <w:r w:rsidR="001A3CC4">
              <w:rPr>
                <w:b/>
                <w:bCs/>
              </w:rPr>
              <w:t>Pangaliit</w:t>
            </w:r>
          </w:p>
        </w:tc>
      </w:tr>
      <w:tr w:rsidR="002A6C9D" w:rsidRPr="001703A2" w14:paraId="4C1FB6EE" w14:textId="77777777" w:rsidTr="00617FBE">
        <w:tc>
          <w:tcPr>
            <w:tcW w:w="10632" w:type="dxa"/>
            <w:gridSpan w:val="3"/>
          </w:tcPr>
          <w:p w14:paraId="4DE7AE8A" w14:textId="5CA39126" w:rsidR="00B12E12" w:rsidRPr="00B12E12" w:rsidRDefault="006017DF">
            <w:r>
              <w:t>Jõustumisaeg</w:t>
            </w:r>
          </w:p>
        </w:tc>
      </w:tr>
      <w:tr w:rsidR="00D22FD2" w14:paraId="2D34BB77" w14:textId="77777777" w:rsidTr="00617FBE">
        <w:tc>
          <w:tcPr>
            <w:tcW w:w="576" w:type="dxa"/>
          </w:tcPr>
          <w:p w14:paraId="6BD628DD" w14:textId="4B0EF090" w:rsidR="009575BE" w:rsidRDefault="00301BEE" w:rsidP="00301BEE">
            <w:pPr>
              <w:jc w:val="center"/>
            </w:pPr>
            <w:r>
              <w:t>1</w:t>
            </w:r>
          </w:p>
        </w:tc>
        <w:tc>
          <w:tcPr>
            <w:tcW w:w="5040" w:type="dxa"/>
          </w:tcPr>
          <w:p w14:paraId="11EA93AF" w14:textId="43B3C7BB" w:rsidR="009575BE" w:rsidRDefault="00C64E94" w:rsidP="008F6B46">
            <w:r>
              <w:t>E</w:t>
            </w:r>
            <w:r w:rsidRPr="00C64E94">
              <w:t>ttepanek kehtestada sätete ülevõtmiseks pikem tähtaeg, et turuosalised saaksid rakenduseks direktiivis ette nähtud minimaalse ajaperioodi - 1 aasta seaduse vastuvõtmisest</w:t>
            </w:r>
          </w:p>
        </w:tc>
        <w:tc>
          <w:tcPr>
            <w:tcW w:w="5016" w:type="dxa"/>
          </w:tcPr>
          <w:p w14:paraId="5B0CC6DA" w14:textId="7230631A" w:rsidR="7348874F" w:rsidRDefault="7348874F" w:rsidP="451D423D">
            <w:r w:rsidRPr="451D423D">
              <w:rPr>
                <w:b/>
                <w:bCs/>
              </w:rPr>
              <w:t>Arvestatud osaliselt / Selgitatud.</w:t>
            </w:r>
            <w:r>
              <w:t xml:space="preserve"> </w:t>
            </w:r>
          </w:p>
          <w:p w14:paraId="0A2A7925" w14:textId="5C37C9B4" w:rsidR="046F4B9F" w:rsidRDefault="046F4B9F" w:rsidP="451D423D">
            <w:r>
              <w:t xml:space="preserve">Justiits- ja Digiministeerium mõistab praktilist vajadust eelnõu jõustumistähtaja edasilükkamise järele. </w:t>
            </w:r>
          </w:p>
          <w:p w14:paraId="6F305B8A" w14:textId="6C89A96F" w:rsidR="00004E0A" w:rsidRDefault="5AE94BDE" w:rsidP="00617FBE">
            <w:r>
              <w:t xml:space="preserve">Eelnõuga on lükatud seaduse jõustumiskuupäeva võrreldes esialgu kavandatuga kuus kuud edasi. </w:t>
            </w:r>
            <w:r w:rsidR="24ECC86F">
              <w:t xml:space="preserve">Sellest pikem edasilükkamine tekitaks oluliselt suurema rikkumismenetluse ohu. </w:t>
            </w:r>
            <w:r w:rsidR="584117B5">
              <w:t>Seetõttu ei saa pikemat tähtaeg</w:t>
            </w:r>
            <w:r w:rsidR="29F43754">
              <w:t>a</w:t>
            </w:r>
            <w:r w:rsidR="584117B5">
              <w:t xml:space="preserve"> ette näha. Kuid praktilisest vajadusest lähtuvalt lükatakse jõustumistähtaeg kuus kuud edasi.</w:t>
            </w:r>
          </w:p>
        </w:tc>
      </w:tr>
      <w:tr w:rsidR="002A6C9D" w14:paraId="5480AC90" w14:textId="77777777" w:rsidTr="00617FBE">
        <w:tc>
          <w:tcPr>
            <w:tcW w:w="10632" w:type="dxa"/>
            <w:gridSpan w:val="3"/>
          </w:tcPr>
          <w:p w14:paraId="45D34165" w14:textId="6F1C2252" w:rsidR="006017DF" w:rsidRDefault="004022D9" w:rsidP="006017DF">
            <w:pPr>
              <w:jc w:val="left"/>
            </w:pPr>
            <w:r>
              <w:t>Võlaõigusseadus</w:t>
            </w:r>
          </w:p>
        </w:tc>
      </w:tr>
      <w:tr w:rsidR="00D22FD2" w14:paraId="6A2DBC76" w14:textId="77777777" w:rsidTr="00617FBE">
        <w:tc>
          <w:tcPr>
            <w:tcW w:w="576" w:type="dxa"/>
          </w:tcPr>
          <w:p w14:paraId="63181B55" w14:textId="5B2B70B3" w:rsidR="009575BE" w:rsidRDefault="00AF3BCD">
            <w:pPr>
              <w:jc w:val="center"/>
            </w:pPr>
            <w:r>
              <w:t>2</w:t>
            </w:r>
          </w:p>
        </w:tc>
        <w:tc>
          <w:tcPr>
            <w:tcW w:w="5040" w:type="dxa"/>
          </w:tcPr>
          <w:p w14:paraId="4910BF6D" w14:textId="77777777" w:rsidR="009575BE" w:rsidRDefault="00651DBB" w:rsidP="008F6B46">
            <w:r>
              <w:t>Ettepanek VÕS § 401</w:t>
            </w:r>
            <w:r>
              <w:rPr>
                <w:vertAlign w:val="superscript"/>
              </w:rPr>
              <w:t>2</w:t>
            </w:r>
            <w:r w:rsidR="00970B58">
              <w:t xml:space="preserve"> kohta seletuskirjas täpsustada, kas lepingu allkirjastamine </w:t>
            </w:r>
            <w:r w:rsidR="00EE079A">
              <w:t>kirjalikus vormis on juba oma olemuselt selge tahteavaldus.</w:t>
            </w:r>
          </w:p>
          <w:p w14:paraId="2EDD78D3" w14:textId="7689B9D0" w:rsidR="00EE079A" w:rsidRPr="00970B58" w:rsidRDefault="00EE079A" w:rsidP="008F6B46">
            <w:r w:rsidRPr="00EE079A">
              <w:t>Seletuskirjas võiks täpsustada, et sätte kohaldamisalast on välistatud krediidiandjad, kes sõlmivad tarbijakrediidilepinguid seaduses sätestatust rangemas vormis, st kes on valinud rangema vorminõude, kui kirjalikku taasesitamist võimaldav vorm.</w:t>
            </w:r>
          </w:p>
        </w:tc>
        <w:tc>
          <w:tcPr>
            <w:tcW w:w="5016" w:type="dxa"/>
          </w:tcPr>
          <w:p w14:paraId="372263FA" w14:textId="2F2E85DE" w:rsidR="00F423EA" w:rsidRPr="00CB60FE" w:rsidRDefault="00E03788" w:rsidP="00F423EA">
            <w:pPr>
              <w:rPr>
                <w:b/>
                <w:bCs/>
              </w:rPr>
            </w:pPr>
            <w:r w:rsidRPr="0D7D5524">
              <w:rPr>
                <w:b/>
                <w:bCs/>
              </w:rPr>
              <w:t>Arvestatud</w:t>
            </w:r>
            <w:r w:rsidR="414205BE" w:rsidRPr="0D7D5524">
              <w:rPr>
                <w:b/>
                <w:bCs/>
              </w:rPr>
              <w:t xml:space="preserve"> / Selgitatud</w:t>
            </w:r>
            <w:r w:rsidRPr="0D7D5524">
              <w:rPr>
                <w:b/>
                <w:bCs/>
              </w:rPr>
              <w:t xml:space="preserve">. </w:t>
            </w:r>
          </w:p>
          <w:p w14:paraId="0171148B" w14:textId="282D10BA" w:rsidR="003C010F" w:rsidRDefault="00E03788" w:rsidP="00CB60FE">
            <w:r>
              <w:t>Seletuskirjas on täpsustatud, et tarbija sõnaselgeks t</w:t>
            </w:r>
            <w:r w:rsidR="00CB60FE">
              <w:t xml:space="preserve">ahteavalduseks loetakse lepingu sõlmimist nii kirjalikus kui ka kirjalikku taasesitamist võimaldavas vormis. </w:t>
            </w:r>
            <w:r w:rsidR="00891945">
              <w:t xml:space="preserve"> </w:t>
            </w:r>
          </w:p>
        </w:tc>
      </w:tr>
      <w:tr w:rsidR="00D22FD2" w14:paraId="1C7307BF" w14:textId="77777777" w:rsidTr="00617FBE">
        <w:tc>
          <w:tcPr>
            <w:tcW w:w="576" w:type="dxa"/>
          </w:tcPr>
          <w:p w14:paraId="77A3DBE6" w14:textId="197D13A4" w:rsidR="009575BE" w:rsidRDefault="00891945">
            <w:pPr>
              <w:jc w:val="center"/>
            </w:pPr>
            <w:r>
              <w:t>3</w:t>
            </w:r>
          </w:p>
        </w:tc>
        <w:tc>
          <w:tcPr>
            <w:tcW w:w="5040" w:type="dxa"/>
          </w:tcPr>
          <w:p w14:paraId="6437F479" w14:textId="60796B3E" w:rsidR="009575BE" w:rsidRDefault="003A3B11" w:rsidP="008F6B46">
            <w:r>
              <w:t xml:space="preserve">Täpsustus </w:t>
            </w:r>
            <w:r w:rsidRPr="003A3B11">
              <w:t>VÕS § 403 lg</w:t>
            </w:r>
            <w:r>
              <w:t xml:space="preserve"> </w:t>
            </w:r>
            <w:r w:rsidRPr="003A3B11">
              <w:t>3 p</w:t>
            </w:r>
            <w:r>
              <w:t xml:space="preserve"> 7 kohta</w:t>
            </w:r>
            <w:r w:rsidR="00304884">
              <w:t xml:space="preserve">, et kas </w:t>
            </w:r>
            <w:r w:rsidR="00304884" w:rsidRPr="00304884">
              <w:t>võlas laenu maksetähtpäeva tasuta edasi lükkamisel ei kohaldu tarbijakrediidi nõuded.</w:t>
            </w:r>
            <w:r w:rsidR="00304884">
              <w:t xml:space="preserve"> Kas tasuta tähendab lepingutasuta või peetakse silmas intressivaba laenu tagastamist, kus loobutakse ka olemasolevatest intressinõuetest?</w:t>
            </w:r>
          </w:p>
        </w:tc>
        <w:tc>
          <w:tcPr>
            <w:tcW w:w="5016" w:type="dxa"/>
          </w:tcPr>
          <w:p w14:paraId="4353210B" w14:textId="4E56B8BD" w:rsidR="00CB60FE" w:rsidRPr="00CB60FE" w:rsidRDefault="3C1D4FC7" w:rsidP="00CB60FE">
            <w:pPr>
              <w:rPr>
                <w:b/>
                <w:bCs/>
              </w:rPr>
            </w:pPr>
            <w:r w:rsidRPr="0D7D5524">
              <w:rPr>
                <w:b/>
                <w:bCs/>
              </w:rPr>
              <w:t xml:space="preserve">Arvestatud / </w:t>
            </w:r>
            <w:r w:rsidR="00CB60FE" w:rsidRPr="0D7D5524">
              <w:rPr>
                <w:b/>
                <w:bCs/>
              </w:rPr>
              <w:t xml:space="preserve">Selgitatud. </w:t>
            </w:r>
          </w:p>
          <w:p w14:paraId="51AAB1C7" w14:textId="29745E28" w:rsidR="00D052CD" w:rsidRPr="00D052CD" w:rsidRDefault="23E9332F" w:rsidP="000D1F18">
            <w:r>
              <w:t>Silmas on peetud seda, et j</w:t>
            </w:r>
            <w:r w:rsidR="00597271">
              <w:t xml:space="preserve">uba võlas laenu maksetähtpäeva edasi lükkamisele ei kohaldu tarbijakrediidi nõuded. </w:t>
            </w:r>
            <w:r w:rsidR="1F722B9E">
              <w:t>Kõnealuse välistuse kohaldamiseks ei pea e</w:t>
            </w:r>
            <w:r w:rsidR="00BA0790">
              <w:t xml:space="preserve">sialgne </w:t>
            </w:r>
            <w:r w:rsidR="00BFFC9D">
              <w:t>tarbijakrediidileping, mille täitmisega on tarbijal tekkinud võlgnevus,</w:t>
            </w:r>
            <w:r w:rsidR="00BA0790">
              <w:t xml:space="preserve"> olema intressivaba</w:t>
            </w:r>
            <w:r w:rsidR="3A1913EF">
              <w:t xml:space="preserve">, tegemist võib olla ka </w:t>
            </w:r>
            <w:r w:rsidR="00370C40">
              <w:t>tasulise tarbijakrediidilepinguga</w:t>
            </w:r>
            <w:r w:rsidR="00BA0790">
              <w:t>. VÕS § 403 lg 3 p 7</w:t>
            </w:r>
            <w:r w:rsidR="00B23676">
              <w:t xml:space="preserve"> </w:t>
            </w:r>
            <w:r w:rsidR="00BA0790">
              <w:t>reguleerib olukord</w:t>
            </w:r>
            <w:r w:rsidR="00B23676">
              <w:t>a</w:t>
            </w:r>
            <w:r w:rsidR="00BA0790">
              <w:t>, kus maksetähtpäeva edasilükkamise</w:t>
            </w:r>
            <w:r w:rsidR="00B23676">
              <w:t>l ei nõuta mingeid lisatasusid (</w:t>
            </w:r>
            <w:r w:rsidR="00756CAB">
              <w:t xml:space="preserve">sh täiendav lepingutasu ja lisaintress). Samuti on sättega hõlmatud olukorrad, kus </w:t>
            </w:r>
            <w:r w:rsidR="000D1F18">
              <w:t xml:space="preserve">esialgsest intressinõudest loobutakse. </w:t>
            </w:r>
            <w:r w:rsidR="00CB03E2">
              <w:t xml:space="preserve"> </w:t>
            </w:r>
            <w:r w:rsidR="4B87723F">
              <w:t>Vastavad selgitused on lisatud ka eelnõu seletuskirja.</w:t>
            </w:r>
          </w:p>
        </w:tc>
      </w:tr>
      <w:tr w:rsidR="00D22FD2" w14:paraId="0E326E6A" w14:textId="77777777" w:rsidTr="00617FBE">
        <w:tc>
          <w:tcPr>
            <w:tcW w:w="576" w:type="dxa"/>
          </w:tcPr>
          <w:p w14:paraId="03FCE5CF" w14:textId="43F1CBA7" w:rsidR="009575BE" w:rsidRDefault="00CB03E2">
            <w:pPr>
              <w:jc w:val="center"/>
            </w:pPr>
            <w:r>
              <w:t>4</w:t>
            </w:r>
          </w:p>
        </w:tc>
        <w:tc>
          <w:tcPr>
            <w:tcW w:w="5040" w:type="dxa"/>
          </w:tcPr>
          <w:p w14:paraId="1808EB40" w14:textId="7EE63AAF" w:rsidR="009575BE" w:rsidRDefault="521EC5F5" w:rsidP="008F6B46">
            <w:r>
              <w:t>VÕS</w:t>
            </w:r>
            <w:r w:rsidR="008A18A2" w:rsidRPr="008A18A2">
              <w:t xml:space="preserve"> § 403 lg 5</w:t>
            </w:r>
            <w:r w:rsidR="00FB4180">
              <w:t xml:space="preserve"> </w:t>
            </w:r>
            <w:r w:rsidR="77BA0E89">
              <w:t xml:space="preserve"> - direktiivi (EL) 2023/2225 art 2 lg 2 p f järgi ei kohaldata direktiivi krediidilepingutele, mis sõlmitakse kohtus või muus ametiasutuses saavutatud kokkuleppe tulemusena. S</w:t>
            </w:r>
            <w:r w:rsidR="3F1C3E8C">
              <w:t>eletuskiri</w:t>
            </w:r>
            <w:r w:rsidR="00FB4180">
              <w:t xml:space="preserve"> vajab </w:t>
            </w:r>
            <w:r w:rsidR="5C137934">
              <w:t>VÕS § 403 lg 5 osas</w:t>
            </w:r>
            <w:r w:rsidR="00FB4180">
              <w:t xml:space="preserve"> täpsustamist, et</w:t>
            </w:r>
            <w:r w:rsidR="00FB4180" w:rsidRPr="00FB4180">
              <w:t xml:space="preserve"> selle all ei ole mõeldud </w:t>
            </w:r>
            <w:r w:rsidR="00FB4180" w:rsidRPr="00FB4180">
              <w:lastRenderedPageBreak/>
              <w:t>olemasolevast tarbijakrediidilepingust tuleneva nõude osas tehtavaid kohtulikke kompromisse.</w:t>
            </w:r>
            <w:r w:rsidR="43F61DF7">
              <w:t xml:space="preserve"> Vastasel juhul väheneks krediidiandjatel huvi kompromissi sõlmimiseks, sest kompromissi sõlmimine on kohtumenetluses vabatahtlik. See on olnud ka EL seadusandja mõte. </w:t>
            </w:r>
          </w:p>
        </w:tc>
        <w:tc>
          <w:tcPr>
            <w:tcW w:w="5016" w:type="dxa"/>
          </w:tcPr>
          <w:p w14:paraId="30E21896" w14:textId="38FC702E" w:rsidR="00652100" w:rsidRDefault="52E8F86B" w:rsidP="5120935D">
            <w:pPr>
              <w:jc w:val="left"/>
            </w:pPr>
            <w:r w:rsidRPr="178B8483">
              <w:rPr>
                <w:b/>
                <w:bCs/>
              </w:rPr>
              <w:lastRenderedPageBreak/>
              <w:t>Arvestatud / Selgitatud.</w:t>
            </w:r>
          </w:p>
          <w:p w14:paraId="446768D9" w14:textId="5D15E97E" w:rsidR="00652100" w:rsidRDefault="01F4A98A" w:rsidP="178B8483">
            <w:pPr>
              <w:spacing w:after="5" w:line="248" w:lineRule="auto"/>
              <w:ind w:left="-5" w:hanging="10"/>
              <w:rPr>
                <w:rFonts w:eastAsia="Times New Roman"/>
              </w:rPr>
            </w:pPr>
            <w:r w:rsidRPr="178B8483">
              <w:rPr>
                <w:rFonts w:eastAsia="Times New Roman"/>
              </w:rPr>
              <w:t xml:space="preserve">Eelnõuga välistatakse kohtuliku kompromissina sõlmitud tarbijakrediidilepingutele suurema hulga tarbijakrediidi reeglite kohaldumine. </w:t>
            </w:r>
            <w:r w:rsidR="369395AB" w:rsidRPr="178B8483">
              <w:rPr>
                <w:rFonts w:eastAsia="Times New Roman"/>
              </w:rPr>
              <w:t xml:space="preserve">See motiveerib krediidiandjaid suuremal määral makseraskustesse ja kohtuvaidlustesse juba </w:t>
            </w:r>
            <w:r w:rsidR="369395AB" w:rsidRPr="178B8483">
              <w:rPr>
                <w:rFonts w:eastAsia="Times New Roman"/>
              </w:rPr>
              <w:lastRenderedPageBreak/>
              <w:t xml:space="preserve">sattunud tarbijatele kompromissi korras vastu tulema. Tarbija õigused on aga kaitstud seeläbi, et kompromissi sõlmimine toimub kohtu kontrolli all. </w:t>
            </w:r>
          </w:p>
          <w:p w14:paraId="2935C0CE" w14:textId="643C02AA" w:rsidR="00652100" w:rsidRDefault="00652100" w:rsidP="178B8483">
            <w:pPr>
              <w:spacing w:after="5" w:line="248" w:lineRule="auto"/>
              <w:ind w:left="-5" w:hanging="10"/>
              <w:rPr>
                <w:rFonts w:eastAsia="Times New Roman"/>
              </w:rPr>
            </w:pPr>
          </w:p>
        </w:tc>
      </w:tr>
      <w:tr w:rsidR="00D22FD2" w14:paraId="1E232D63" w14:textId="77777777" w:rsidTr="00617FBE">
        <w:tc>
          <w:tcPr>
            <w:tcW w:w="576" w:type="dxa"/>
          </w:tcPr>
          <w:p w14:paraId="3FC2883D" w14:textId="6BC3A17A" w:rsidR="009575BE" w:rsidRDefault="0011604B">
            <w:pPr>
              <w:jc w:val="center"/>
            </w:pPr>
            <w:r>
              <w:lastRenderedPageBreak/>
              <w:t>5</w:t>
            </w:r>
          </w:p>
        </w:tc>
        <w:tc>
          <w:tcPr>
            <w:tcW w:w="5040" w:type="dxa"/>
          </w:tcPr>
          <w:p w14:paraId="24F15AB0" w14:textId="08F09FF0" w:rsidR="009575BE" w:rsidRDefault="000654F2" w:rsidP="008F6B46">
            <w:r w:rsidRPr="000654F2">
              <w:t>VÕS § 403 lg 7 ja lg</w:t>
            </w:r>
            <w:r>
              <w:t xml:space="preserve"> 9 kohaldamise erinevused. Seletuskirjas peaks</w:t>
            </w:r>
            <w:r w:rsidR="00AC1FE2">
              <w:t xml:space="preserve"> </w:t>
            </w:r>
            <w:r w:rsidR="00AC1FE2" w:rsidRPr="00AC1FE2">
              <w:t>Eesti turul oleva vajaduse selle regulatsiooni osas täpsemalt selgitama, vastasel juhul tekib nende sätete kohaldamise osas mitmeti tõlgendamist.</w:t>
            </w:r>
          </w:p>
        </w:tc>
        <w:tc>
          <w:tcPr>
            <w:tcW w:w="5016" w:type="dxa"/>
          </w:tcPr>
          <w:p w14:paraId="6C50E5D9" w14:textId="1DE6AC46" w:rsidR="009575BE" w:rsidRDefault="6279EB34" w:rsidP="451D423D">
            <w:pPr>
              <w:rPr>
                <w:b/>
              </w:rPr>
            </w:pPr>
            <w:r w:rsidRPr="67386713">
              <w:rPr>
                <w:b/>
                <w:bCs/>
              </w:rPr>
              <w:t>Arvestatud / Selgitatud.</w:t>
            </w:r>
          </w:p>
          <w:p w14:paraId="0D751BFE" w14:textId="397FB98E" w:rsidR="67386713" w:rsidRDefault="6866D9FD" w:rsidP="451D423D">
            <w:r>
              <w:t>Lõike 9 seletuskirja on täiendatud lisaselgitustega selle kohaldamisala kohta ja selle piiritlemise kohta lõigetest 7 ja 8.</w:t>
            </w:r>
          </w:p>
          <w:p w14:paraId="5A30D333" w14:textId="292A31DD" w:rsidR="006A79BA" w:rsidRDefault="006A79BA" w:rsidP="006A79BA">
            <w:pPr>
              <w:jc w:val="center"/>
            </w:pPr>
          </w:p>
        </w:tc>
      </w:tr>
      <w:tr w:rsidR="00D22FD2" w14:paraId="4F08A6EC" w14:textId="77777777" w:rsidTr="00617FBE">
        <w:tc>
          <w:tcPr>
            <w:tcW w:w="576" w:type="dxa"/>
          </w:tcPr>
          <w:p w14:paraId="4690EAFB" w14:textId="4B16C932" w:rsidR="009575BE" w:rsidRDefault="0011604B">
            <w:pPr>
              <w:jc w:val="center"/>
            </w:pPr>
            <w:r>
              <w:t>6</w:t>
            </w:r>
          </w:p>
        </w:tc>
        <w:tc>
          <w:tcPr>
            <w:tcW w:w="5040" w:type="dxa"/>
          </w:tcPr>
          <w:p w14:paraId="40938BFB" w14:textId="3469BADA" w:rsidR="009575BE" w:rsidRDefault="00D22B21" w:rsidP="008F6B46">
            <w:r w:rsidRPr="00D22B21">
              <w:t>VÕS § 403</w:t>
            </w:r>
            <w:r w:rsidR="00BA376A">
              <w:rPr>
                <w:vertAlign w:val="superscript"/>
              </w:rPr>
              <w:t>1</w:t>
            </w:r>
            <w:r w:rsidRPr="00D22B21">
              <w:t xml:space="preserve"> </w:t>
            </w:r>
            <w:r w:rsidR="00553C21">
              <w:t>l</w:t>
            </w:r>
            <w:r w:rsidRPr="00D22B21">
              <w:t>õi</w:t>
            </w:r>
            <w:r w:rsidR="002B61CF">
              <w:t>k</w:t>
            </w:r>
            <w:r w:rsidRPr="00D22B21">
              <w:t xml:space="preserve">e 1 </w:t>
            </w:r>
            <w:r w:rsidR="002B61CF">
              <w:t>osas on vaja selgitus</w:t>
            </w:r>
            <w:r w:rsidR="00010EDF">
              <w:t>t</w:t>
            </w:r>
            <w:r w:rsidR="002B61CF">
              <w:t xml:space="preserve">, millisest </w:t>
            </w:r>
            <w:r w:rsidR="002F1E34">
              <w:t>(krediidi)</w:t>
            </w:r>
            <w:r w:rsidR="002B61CF">
              <w:t xml:space="preserve">liigitusest tuleb lähtuda </w:t>
            </w:r>
            <w:r w:rsidR="002F1E34">
              <w:t xml:space="preserve">lepingueelse teabe andmisel, negatiivsesse krediidiregistrisse info andmisel. </w:t>
            </w:r>
          </w:p>
        </w:tc>
        <w:tc>
          <w:tcPr>
            <w:tcW w:w="5016" w:type="dxa"/>
          </w:tcPr>
          <w:p w14:paraId="67D96FBC" w14:textId="2B447D4D" w:rsidR="00A4585A" w:rsidRDefault="64332A30" w:rsidP="451D423D">
            <w:r w:rsidRPr="451D423D">
              <w:rPr>
                <w:b/>
                <w:bCs/>
              </w:rPr>
              <w:t>Selgitatud</w:t>
            </w:r>
            <w:r>
              <w:t>.</w:t>
            </w:r>
          </w:p>
          <w:p w14:paraId="4333D3AC" w14:textId="34311DB6" w:rsidR="00A4585A" w:rsidRDefault="672A2D20" w:rsidP="451D423D">
            <w:r>
              <w:t>S</w:t>
            </w:r>
            <w:r w:rsidR="473D6953">
              <w:t>ee on k</w:t>
            </w:r>
            <w:r w:rsidR="2A67668A">
              <w:t>rediidiandja enda otsustada</w:t>
            </w:r>
            <w:r w:rsidR="473D6953">
              <w:t>. Ehk siis sellest määratlusest</w:t>
            </w:r>
            <w:r w:rsidR="06F2C62B">
              <w:t>,</w:t>
            </w:r>
            <w:r w:rsidR="473D6953">
              <w:t xml:space="preserve"> mis on </w:t>
            </w:r>
            <w:r w:rsidR="5A0AB874">
              <w:t>ette nähtud krediiditeabe jagamise seaduse eelnõus</w:t>
            </w:r>
            <w:r w:rsidR="755A2CA1">
              <w:t>, võib lähtuda, aga ei pea.</w:t>
            </w:r>
            <w:r w:rsidR="7C923EC8">
              <w:t xml:space="preserve"> See ei ole krediidiandjale kohustuslik. Oluline on, et lepingueelses teabes märgitud krediidi liik annaks </w:t>
            </w:r>
            <w:r w:rsidR="50D1FA26">
              <w:t xml:space="preserve">tarbijale ettekujutuse sellest, mis tüüpi tarbijakrediidilepingu ta sõlmib. Aga </w:t>
            </w:r>
            <w:r w:rsidR="0376F658">
              <w:t xml:space="preserve">seadusandja ei kirjuta turuosalistele täpselt ette seda, missugustest liigitusest või klassifikaatoritest nad seejuures lähtuma peaksid. </w:t>
            </w:r>
            <w:r w:rsidR="636934EB">
              <w:t xml:space="preserve">Liiga jäik regulatsioon võiks olla negatiivne mh põhjusel, et see ei võimaldaks piisavalt paindlikult tulevaste </w:t>
            </w:r>
            <w:r w:rsidR="4868F1D6">
              <w:t>turu</w:t>
            </w:r>
            <w:r w:rsidR="636934EB">
              <w:t>arengute</w:t>
            </w:r>
            <w:r w:rsidR="434F4D73">
              <w:t xml:space="preserve"> ja potentsiaalselt uute krediiditoodete</w:t>
            </w:r>
            <w:r w:rsidR="636934EB">
              <w:t xml:space="preserve">ga arvestada. </w:t>
            </w:r>
          </w:p>
          <w:p w14:paraId="6939F66E" w14:textId="7BFB50BD" w:rsidR="00A4585A" w:rsidRDefault="00A4585A" w:rsidP="451D423D"/>
          <w:p w14:paraId="776DEC21" w14:textId="672A33CD" w:rsidR="00A4585A" w:rsidRDefault="475A12A3" w:rsidP="451D423D">
            <w:r>
              <w:t>M</w:t>
            </w:r>
            <w:r w:rsidR="755A2CA1">
              <w:t xml:space="preserve">aksehäireregistrite puhul </w:t>
            </w:r>
            <w:r w:rsidR="7730DD69">
              <w:t xml:space="preserve">võivad need identifikaatorid olla pigem eeskujuks ja </w:t>
            </w:r>
            <w:r w:rsidR="0E0013C6">
              <w:t xml:space="preserve">turuosalised </w:t>
            </w:r>
            <w:r w:rsidR="7730DD69">
              <w:t>saavad otsustada, kas nad on valmis v</w:t>
            </w:r>
            <w:r w:rsidR="25C80590">
              <w:t>õi</w:t>
            </w:r>
            <w:r w:rsidR="7730DD69">
              <w:t xml:space="preserve"> nõus </w:t>
            </w:r>
            <w:r w:rsidR="3498DE0C">
              <w:t>oma liigitust vastavalt kohendama. Aga iseenesest ei ole krediidiandjal praegu kohustust (vähemalt direktiivist tulenevalt) mingi konkreetsel viisil registrile infot edastada.</w:t>
            </w:r>
            <w:r w:rsidR="2E552572">
              <w:t xml:space="preserve"> </w:t>
            </w:r>
          </w:p>
        </w:tc>
      </w:tr>
      <w:tr w:rsidR="00D22FD2" w14:paraId="1EC74164" w14:textId="77777777" w:rsidTr="00617FBE">
        <w:tc>
          <w:tcPr>
            <w:tcW w:w="576" w:type="dxa"/>
          </w:tcPr>
          <w:p w14:paraId="19F88C2B" w14:textId="44315104" w:rsidR="009575BE" w:rsidRDefault="0011604B">
            <w:pPr>
              <w:jc w:val="center"/>
            </w:pPr>
            <w:r>
              <w:t>7</w:t>
            </w:r>
          </w:p>
        </w:tc>
        <w:tc>
          <w:tcPr>
            <w:tcW w:w="5040" w:type="dxa"/>
          </w:tcPr>
          <w:p w14:paraId="6F261EB1" w14:textId="40384D85" w:rsidR="009575BE" w:rsidRPr="00224628" w:rsidRDefault="00224628" w:rsidP="008F6B46">
            <w:r w:rsidRPr="00D22B21">
              <w:t>VÕS § 403</w:t>
            </w:r>
            <w:r>
              <w:rPr>
                <w:vertAlign w:val="superscript"/>
              </w:rPr>
              <w:t>1</w:t>
            </w:r>
            <w:r>
              <w:t xml:space="preserve"> lg 1 p 10</w:t>
            </w:r>
            <w:r w:rsidR="00950630">
              <w:t xml:space="preserve"> – kas hilinenud vs tasumata makse näol on tegemist uue mõistetega ja mis on nende vahe?</w:t>
            </w:r>
          </w:p>
        </w:tc>
        <w:tc>
          <w:tcPr>
            <w:tcW w:w="5016" w:type="dxa"/>
          </w:tcPr>
          <w:p w14:paraId="14C3A798" w14:textId="1DED6D6B" w:rsidR="00A20AF0" w:rsidRPr="005D6039" w:rsidRDefault="005D6039" w:rsidP="00A20AF0">
            <w:pPr>
              <w:rPr>
                <w:b/>
                <w:bCs/>
              </w:rPr>
            </w:pPr>
            <w:r w:rsidRPr="005D6039">
              <w:rPr>
                <w:b/>
                <w:bCs/>
              </w:rPr>
              <w:t>Selgitatud.</w:t>
            </w:r>
          </w:p>
          <w:p w14:paraId="24745AAC" w14:textId="3EEDC9D4" w:rsidR="009575BE" w:rsidRDefault="005D6039" w:rsidP="00FF03EA">
            <w:r>
              <w:t xml:space="preserve">Tegemist ei ole uute mõistetega, sest mõlema puhul on tegemist </w:t>
            </w:r>
            <w:r w:rsidR="00FF4212">
              <w:t>rahalise kohustuse rikkumisega. Direktiiv</w:t>
            </w:r>
            <w:r w:rsidR="00FF03EA">
              <w:t>i</w:t>
            </w:r>
            <w:r w:rsidR="00FF4212">
              <w:t xml:space="preserve"> (EL) 2023/2225 </w:t>
            </w:r>
            <w:r w:rsidR="00FF03EA">
              <w:t xml:space="preserve">artikkel 10 lg 3 p i </w:t>
            </w:r>
            <w:r w:rsidR="00FF4212">
              <w:t xml:space="preserve">nüüd eristab neid kahte. </w:t>
            </w:r>
            <w:r w:rsidR="007D1AA5">
              <w:t xml:space="preserve">Tasumata makse tähendab, et tarbija ei ole raha maksmise kohustust üldse täitnud. </w:t>
            </w:r>
            <w:r w:rsidR="00FF03EA">
              <w:t xml:space="preserve">Hilinenud makse tähendab viivitusega tehtud makset. </w:t>
            </w:r>
          </w:p>
        </w:tc>
      </w:tr>
      <w:tr w:rsidR="00D22FD2" w14:paraId="550FC811" w14:textId="77777777" w:rsidTr="00617FBE">
        <w:tc>
          <w:tcPr>
            <w:tcW w:w="576" w:type="dxa"/>
          </w:tcPr>
          <w:p w14:paraId="5D24690D" w14:textId="32FDD5BA" w:rsidR="009575BE" w:rsidRDefault="0011604B">
            <w:pPr>
              <w:jc w:val="center"/>
            </w:pPr>
            <w:r>
              <w:t>8</w:t>
            </w:r>
          </w:p>
        </w:tc>
        <w:tc>
          <w:tcPr>
            <w:tcW w:w="5040" w:type="dxa"/>
          </w:tcPr>
          <w:p w14:paraId="58DEFBC0" w14:textId="025C2E86" w:rsidR="009575BE" w:rsidRDefault="00950630" w:rsidP="008F6B46">
            <w:r w:rsidRPr="00D22B21">
              <w:t>VÕS § 403</w:t>
            </w:r>
            <w:r>
              <w:rPr>
                <w:vertAlign w:val="superscript"/>
              </w:rPr>
              <w:t>1</w:t>
            </w:r>
            <w:r>
              <w:t xml:space="preserve"> lg 2 p 17 (</w:t>
            </w:r>
            <w:r w:rsidR="007C063C">
              <w:t>vt ka</w:t>
            </w:r>
            <w:r w:rsidR="007C063C" w:rsidRPr="007C063C">
              <w:t>§ 403</w:t>
            </w:r>
            <w:r w:rsidR="007C063C">
              <w:rPr>
                <w:vertAlign w:val="superscript"/>
              </w:rPr>
              <w:t>4</w:t>
            </w:r>
            <w:r w:rsidR="007C063C" w:rsidRPr="007C063C">
              <w:t xml:space="preserve"> lg</w:t>
            </w:r>
            <w:r w:rsidR="007C063C">
              <w:t xml:space="preserve"> </w:t>
            </w:r>
            <w:r w:rsidR="007C063C" w:rsidRPr="007C063C">
              <w:t>11</w:t>
            </w:r>
            <w:r w:rsidR="007C063C">
              <w:rPr>
                <w:vertAlign w:val="superscript"/>
              </w:rPr>
              <w:t>1</w:t>
            </w:r>
            <w:r w:rsidR="007C063C" w:rsidRPr="007C063C">
              <w:t xml:space="preserve"> ja VÕS § 403</w:t>
            </w:r>
            <w:r w:rsidR="007C063C">
              <w:rPr>
                <w:vertAlign w:val="superscript"/>
              </w:rPr>
              <w:t>5</w:t>
            </w:r>
            <w:r w:rsidR="007C063C" w:rsidRPr="007C063C">
              <w:t xml:space="preserve"> lg</w:t>
            </w:r>
            <w:r w:rsidR="007C063C">
              <w:t xml:space="preserve"> </w:t>
            </w:r>
            <w:r w:rsidR="007C063C" w:rsidRPr="007C063C">
              <w:t>4)</w:t>
            </w:r>
            <w:r w:rsidR="00823971">
              <w:t xml:space="preserve"> – kas nendes sätetes on mõeldud </w:t>
            </w:r>
            <w:r w:rsidR="009611F8">
              <w:t>osalist või täielikku automatiseeritud töötlemist?</w:t>
            </w:r>
            <w:r w:rsidR="0079660E">
              <w:t xml:space="preserve"> </w:t>
            </w:r>
            <w:r w:rsidR="00F91142">
              <w:t>Kas teabelehel tuleb välja „</w:t>
            </w:r>
            <w:r w:rsidR="00F91142" w:rsidRPr="003D0A05">
              <w:t>„Hinda on isikupõhiselt kohandatud automatiseeritud otsuste tegemise alusel</w:t>
            </w:r>
            <w:r w:rsidR="00F91142">
              <w:t>“ täitmisel vastuseks märkida vaid fakt ehk „jah/ei“?</w:t>
            </w:r>
          </w:p>
        </w:tc>
        <w:tc>
          <w:tcPr>
            <w:tcW w:w="5016" w:type="dxa"/>
          </w:tcPr>
          <w:p w14:paraId="35600CA5" w14:textId="43D306D2" w:rsidR="003F4823" w:rsidRPr="001B696C" w:rsidRDefault="001B696C" w:rsidP="001B696C">
            <w:pPr>
              <w:rPr>
                <w:b/>
                <w:bCs/>
              </w:rPr>
            </w:pPr>
            <w:r w:rsidRPr="001B696C">
              <w:rPr>
                <w:b/>
                <w:bCs/>
              </w:rPr>
              <w:t xml:space="preserve">Selgitatud. </w:t>
            </w:r>
          </w:p>
          <w:p w14:paraId="16CB28C3" w14:textId="0A3B0256" w:rsidR="001B696C" w:rsidRDefault="006D38AD" w:rsidP="001B696C">
            <w:r>
              <w:t xml:space="preserve">VÕS </w:t>
            </w:r>
            <w:r w:rsidR="00261FBF">
              <w:t>§ 403</w:t>
            </w:r>
            <w:r w:rsidR="00883F93" w:rsidRPr="664DC2B3">
              <w:rPr>
                <w:vertAlign w:val="superscript"/>
              </w:rPr>
              <w:t>1</w:t>
            </w:r>
            <w:r w:rsidR="00261FBF">
              <w:t xml:space="preserve"> </w:t>
            </w:r>
            <w:r w:rsidR="00883F93">
              <w:t>l</w:t>
            </w:r>
            <w:r w:rsidR="00261FBF">
              <w:t>g 2 p 17</w:t>
            </w:r>
            <w:r w:rsidR="00F13C75">
              <w:t xml:space="preserve"> (ja teised märkuses viidatud sätte</w:t>
            </w:r>
            <w:r w:rsidR="006D7FC9">
              <w:t>d</w:t>
            </w:r>
            <w:r w:rsidR="00F13C75">
              <w:t xml:space="preserve">) hõlmavad ka osalist automatiseeritud töötlemist. </w:t>
            </w:r>
            <w:r w:rsidR="006E2DF6">
              <w:t>Konkreetselt VÕS § 403</w:t>
            </w:r>
            <w:r w:rsidR="006E2DF6" w:rsidRPr="664DC2B3">
              <w:rPr>
                <w:vertAlign w:val="superscript"/>
              </w:rPr>
              <w:t>1</w:t>
            </w:r>
            <w:r w:rsidR="006E2DF6">
              <w:t xml:space="preserve"> lg 2 p 17 kontekstis tähendab see seega, et isegi, kui </w:t>
            </w:r>
            <w:r w:rsidR="00655791">
              <w:t xml:space="preserve">vaid ühes etapis hinna kohandamise protsessis on kasutatud automatiseeritud andmetöötlust, siis </w:t>
            </w:r>
            <w:r w:rsidR="00D142B1">
              <w:t xml:space="preserve">peab sellest </w:t>
            </w:r>
            <w:r w:rsidR="6A858379">
              <w:t xml:space="preserve">tarbijat </w:t>
            </w:r>
            <w:r w:rsidR="00D142B1">
              <w:t xml:space="preserve">teavitama. </w:t>
            </w:r>
            <w:r w:rsidR="000744B5">
              <w:t>Küll aga pea</w:t>
            </w:r>
            <w:r w:rsidR="34478BE7">
              <w:t>vad</w:t>
            </w:r>
            <w:r w:rsidR="000744B5">
              <w:t xml:space="preserve"> </w:t>
            </w:r>
            <w:r w:rsidR="000744B5">
              <w:lastRenderedPageBreak/>
              <w:t>automatiseeritud andmetöötluse</w:t>
            </w:r>
            <w:r w:rsidR="00D65E2F">
              <w:t>s kasutatavad andmed olema sisulised – see tähendab, et kui hinnapakkumise tegemiseks töödeldakse selliseid andmeid, mis ei ole konkreetse hinna kujundamisel määravad (nt tarbija kontaktandmed</w:t>
            </w:r>
            <w:r w:rsidR="11874371">
              <w:t xml:space="preserve"> kantakse krediidiandja sisemisest infosüsteemist mõnele formularile vms</w:t>
            </w:r>
            <w:r w:rsidR="00D65E2F">
              <w:t>), siis sellest eraldi teavitama ei pea.</w:t>
            </w:r>
          </w:p>
          <w:p w14:paraId="21098D88" w14:textId="77777777" w:rsidR="0046300F" w:rsidRDefault="0046300F" w:rsidP="001B696C"/>
          <w:p w14:paraId="6C0A1D0C" w14:textId="50CBF08F" w:rsidR="00806F78" w:rsidRDefault="00806F78" w:rsidP="001B696C">
            <w:r>
              <w:t xml:space="preserve">Direktiiv ega selle lisaks olevas teabelehes ei ole täpsustatud, </w:t>
            </w:r>
            <w:r w:rsidR="00F91480">
              <w:t xml:space="preserve">mida tuleb vastavasse lahtrisse märkida. Kuna selle eesmärk on tarbijat teavitada automatiseeritud otsuse alusel hinna kujundamise faktist, võib „jah“ või „ei“ märkimine olla piisav antud teavitamiskohustuse täitmiseks. Selle kõrval tuleb aga silmas pidada IKÜM-ist tulenevaid teavitamiskohustusi </w:t>
            </w:r>
            <w:r w:rsidR="00C55F5A">
              <w:t xml:space="preserve">(vt direktiivi </w:t>
            </w:r>
            <w:r w:rsidR="00422103">
              <w:t xml:space="preserve">põhjenduspunkt 46). </w:t>
            </w:r>
          </w:p>
          <w:p w14:paraId="0FB5496C" w14:textId="77777777" w:rsidR="0046300F" w:rsidRDefault="0046300F" w:rsidP="001B696C"/>
          <w:p w14:paraId="7D6CE165" w14:textId="36C4A416" w:rsidR="00791E25" w:rsidRDefault="00791E25" w:rsidP="008975C8">
            <w:r>
              <w:t xml:space="preserve">Seletuskirja on vastavate selgitustega täiendatud. </w:t>
            </w:r>
          </w:p>
        </w:tc>
      </w:tr>
      <w:tr w:rsidR="00D22FD2" w14:paraId="0A6F82E1" w14:textId="77777777" w:rsidTr="00617FBE">
        <w:tc>
          <w:tcPr>
            <w:tcW w:w="576" w:type="dxa"/>
          </w:tcPr>
          <w:p w14:paraId="2FBA2322" w14:textId="4EFD2127" w:rsidR="009575BE" w:rsidRDefault="0011604B">
            <w:pPr>
              <w:jc w:val="center"/>
            </w:pPr>
            <w:r>
              <w:lastRenderedPageBreak/>
              <w:t>9</w:t>
            </w:r>
          </w:p>
        </w:tc>
        <w:tc>
          <w:tcPr>
            <w:tcW w:w="5040" w:type="dxa"/>
          </w:tcPr>
          <w:p w14:paraId="1CE2E8A7" w14:textId="0FCD700E" w:rsidR="006547A9" w:rsidRDefault="003D0A05" w:rsidP="00D72220">
            <w:r>
              <w:t>VÕS § 403</w:t>
            </w:r>
            <w:r w:rsidRPr="4BF3645E">
              <w:rPr>
                <w:vertAlign w:val="superscript"/>
              </w:rPr>
              <w:t>1</w:t>
            </w:r>
            <w:r>
              <w:t xml:space="preserve"> lg 2 p 20</w:t>
            </w:r>
            <w:r w:rsidR="008A7A26">
              <w:t xml:space="preserve"> - kas need turuosalised, kes kasutavad tarbijakrediitidel fikseerimata intressimäära, peaksid näitama graafikut nt maksimaalse teadaoleva </w:t>
            </w:r>
            <w:proofErr w:type="spellStart"/>
            <w:r w:rsidR="008A7A26">
              <w:t>euriboriga</w:t>
            </w:r>
            <w:proofErr w:type="spellEnd"/>
            <w:r w:rsidR="008A7A26">
              <w:t>?</w:t>
            </w:r>
            <w:r w:rsidR="00D72220">
              <w:t xml:space="preserve"> Näiteks on ka täna eluasemelaenude teabelehel näide suurima teadaoleva </w:t>
            </w:r>
            <w:proofErr w:type="spellStart"/>
            <w:r w:rsidR="00D72220">
              <w:t>euriboriga</w:t>
            </w:r>
            <w:proofErr w:type="spellEnd"/>
            <w:r w:rsidR="00D72220">
              <w:t xml:space="preserve">. Palume seletuskirja täpsustada, kuna säte ja seletuskirja koosmõjul ei ole suunised üheselt arusaadavad. </w:t>
            </w:r>
          </w:p>
          <w:p w14:paraId="72278C34" w14:textId="5B196EA9" w:rsidR="00D72220" w:rsidRDefault="00D72220" w:rsidP="00D72220">
            <w:r>
              <w:t xml:space="preserve">Sh kui lepingueelne teave (teabeleht) esitatakse koos lepinguga digikonteineris, kas peaks esitama </w:t>
            </w:r>
          </w:p>
          <w:p w14:paraId="62E633CF" w14:textId="1B5B3CE7" w:rsidR="00D72220" w:rsidRDefault="00D72220" w:rsidP="00D72220">
            <w:r>
              <w:t>paralleelse graafiku koos hetkeväärtustega, kuna graafik on ka tarbija tahteavalduse ehk lepingu osa.</w:t>
            </w:r>
            <w:r w:rsidR="006547A9">
              <w:t xml:space="preserve"> </w:t>
            </w:r>
            <w:r>
              <w:t xml:space="preserve">Ehk tarbija saaks teabelehel suuremate maksetega graafiku ja samal ajal hetkeseisu alusintressimääraga koostatud graafiku, mis võib tekitada tarbijas pigem segadust. See toob kaasa ka </w:t>
            </w:r>
          </w:p>
          <w:p w14:paraId="27829C85" w14:textId="764DE50D" w:rsidR="00D72220" w:rsidRDefault="00D72220" w:rsidP="00D72220">
            <w:r>
              <w:t>erinevate kogukulu, krediidi kulukuse määra jm suuruste kuvamise teabelehel ja lepingus, mis kindlasti tekitab tarbijas segadust.</w:t>
            </w:r>
          </w:p>
          <w:p w14:paraId="12E292E7" w14:textId="306A13C8" w:rsidR="009575BE" w:rsidRDefault="00D72220" w:rsidP="008F6B46">
            <w:r>
              <w:t>Kuna teabelehe tagasimaksegraafik peaks sisaldama kindlustusmakseid (olemasolul), siis olukorras, kus kindlustuspakkumustel on mitme pakkuja valikut, palume selgitada, kas graafikus tuleb näidata kõige kallima kindlustusvaliku maksed, kui tarbija eelistus teabelehe esitamise hetkeks ei ole veel teada</w:t>
            </w:r>
            <w:r w:rsidR="004811EC">
              <w:t>?</w:t>
            </w:r>
          </w:p>
        </w:tc>
        <w:tc>
          <w:tcPr>
            <w:tcW w:w="5016" w:type="dxa"/>
          </w:tcPr>
          <w:p w14:paraId="5782F254" w14:textId="4B5BAE30" w:rsidR="2482B01A" w:rsidRDefault="2482B01A" w:rsidP="3A99F2AD">
            <w:r w:rsidRPr="451D423D">
              <w:rPr>
                <w:b/>
              </w:rPr>
              <w:t>Selgitatud</w:t>
            </w:r>
            <w:r>
              <w:t xml:space="preserve">. </w:t>
            </w:r>
          </w:p>
          <w:p w14:paraId="525A49A7" w14:textId="4DC3DFC3" w:rsidR="2482B01A" w:rsidRDefault="2482B01A" w:rsidP="451D423D">
            <w:r>
              <w:t xml:space="preserve">Kõnealune regulatsioon on </w:t>
            </w:r>
            <w:r w:rsidR="1998C3AA">
              <w:t xml:space="preserve">vajalik </w:t>
            </w:r>
            <w:r>
              <w:t xml:space="preserve">direktiivi artikli 10 </w:t>
            </w:r>
            <w:r w:rsidR="4BAF9476">
              <w:t xml:space="preserve">lõike 5 punkti q ülevõtmiseks. Eelnõu seletuskirja on täiendatud </w:t>
            </w:r>
            <w:r w:rsidR="3E93B95D">
              <w:t>nii sätte eesmärkide kui ka praktilise tähenduse osas.</w:t>
            </w:r>
          </w:p>
          <w:p w14:paraId="44344919" w14:textId="3FA2CD1B" w:rsidR="451D423D" w:rsidRDefault="451D423D" w:rsidP="451D423D"/>
          <w:p w14:paraId="76A70511" w14:textId="1975F3A8" w:rsidR="2E9A4B16" w:rsidRDefault="2E9A4B16" w:rsidP="451D423D">
            <w:pPr>
              <w:rPr>
                <w:rFonts w:eastAsia="Times New Roman"/>
              </w:rPr>
            </w:pPr>
            <w:r w:rsidRPr="451D423D">
              <w:rPr>
                <w:rFonts w:eastAsia="Times New Roman"/>
              </w:rPr>
              <w:t xml:space="preserve">Nagu märkuses õigesti välja tuuakse, on sarnane regulatsioon </w:t>
            </w:r>
            <w:r w:rsidR="72EC09E7" w:rsidRPr="451D423D">
              <w:rPr>
                <w:rFonts w:eastAsia="Times New Roman"/>
              </w:rPr>
              <w:t xml:space="preserve">nähtud ette ka </w:t>
            </w:r>
            <w:r w:rsidRPr="451D423D">
              <w:rPr>
                <w:rFonts w:eastAsia="Times New Roman"/>
              </w:rPr>
              <w:t>elamukinnisvaraga seotud krediidilepingute puhu</w:t>
            </w:r>
            <w:r w:rsidR="6F4E9303" w:rsidRPr="451D423D">
              <w:rPr>
                <w:rFonts w:eastAsia="Times New Roman"/>
              </w:rPr>
              <w:t xml:space="preserve">l, mille teabelehel tuleb </w:t>
            </w:r>
            <w:r w:rsidRPr="451D423D">
              <w:rPr>
                <w:rFonts w:eastAsia="Times New Roman"/>
              </w:rPr>
              <w:t xml:space="preserve">intressimäära ja muude kulude punkti all </w:t>
            </w:r>
            <w:r w:rsidR="4ABDA46D" w:rsidRPr="451D423D">
              <w:rPr>
                <w:rFonts w:eastAsia="Times New Roman"/>
              </w:rPr>
              <w:t xml:space="preserve">esitada </w:t>
            </w:r>
            <w:r w:rsidRPr="451D423D">
              <w:rPr>
                <w:rFonts w:eastAsia="Times New Roman"/>
              </w:rPr>
              <w:t>näide kõrgemast krediidi kulukuse määrast ja esitada vastav stsenaarium selle kohta, missuguse intressimäära tõusu korral sellise kõrgema krediidi kulukuse määrani jõutakse</w:t>
            </w:r>
            <w:r w:rsidR="53C9ED36" w:rsidRPr="451D423D">
              <w:rPr>
                <w:rFonts w:eastAsia="Times New Roman"/>
              </w:rPr>
              <w:t xml:space="preserve">. See põhineb ajaloolisel kogemusel. </w:t>
            </w:r>
            <w:r w:rsidR="7140EFBF" w:rsidRPr="451D423D">
              <w:rPr>
                <w:rFonts w:eastAsia="Times New Roman"/>
              </w:rPr>
              <w:t xml:space="preserve">Samasugusest lähenemisest on eelnõu autorite arvates põhjendatud lähtuda ka siin. </w:t>
            </w:r>
          </w:p>
          <w:p w14:paraId="1079959F" w14:textId="12BBD664" w:rsidR="07E3CD24" w:rsidRDefault="07E3CD24" w:rsidP="3A99F2AD"/>
          <w:p w14:paraId="3FDFEB65" w14:textId="4A48D062" w:rsidR="37BB05FE" w:rsidRDefault="37BB05FE" w:rsidP="451D423D">
            <w:r>
              <w:t xml:space="preserve">Vastav regulatsioon on </w:t>
            </w:r>
            <w:r w:rsidR="1214C7E4">
              <w:t>dir</w:t>
            </w:r>
            <w:r w:rsidR="6BF51437">
              <w:t>ektiivis nähtud ette lepingueelse teabe osana. Direktiivi üldise</w:t>
            </w:r>
            <w:r w:rsidR="1214C7E4">
              <w:t xml:space="preserve"> loogika </w:t>
            </w:r>
            <w:r w:rsidR="244ECE80">
              <w:t xml:space="preserve">kohaselt tuleks see esitada enne lepingu sõlmimist. </w:t>
            </w:r>
            <w:r w:rsidR="2FD81685">
              <w:t xml:space="preserve">Seega üldise loogika kohaselt peaks tarbija saama esmalt teabelehe, mille lõpus või lisana on esitatud ka punkti 20 kohaselt koostatud  tagasimaksegraafik. </w:t>
            </w:r>
            <w:r w:rsidR="4F9E340C">
              <w:t>Lepinguline teave tuleks direktiivi üldise loogika kohaselt esitada pärast seda. Sellisel juhul ei teki ka märkuses kirjeldatud segaduse ohtu erinevate graafikute esitamisel.</w:t>
            </w:r>
          </w:p>
          <w:p w14:paraId="3221A143" w14:textId="6082721B" w:rsidR="451D423D" w:rsidRDefault="451D423D" w:rsidP="451D423D"/>
          <w:p w14:paraId="192A64F3" w14:textId="17F1A07E" w:rsidR="00D614E1" w:rsidRDefault="00C52081" w:rsidP="3A99F2AD">
            <w:r>
              <w:lastRenderedPageBreak/>
              <w:t xml:space="preserve">Mis puudutab kindlustusmakseid, siis tuleks krediidiandjal lähtuda sellest pakkumisest mis neile endile teada on </w:t>
            </w:r>
            <w:r w:rsidR="7A60AC28">
              <w:t>või</w:t>
            </w:r>
            <w:r>
              <w:t xml:space="preserve"> mida nad ise koos pakuvad. </w:t>
            </w:r>
            <w:r w:rsidR="5D9A38CF">
              <w:t xml:space="preserve">Alternatiivsete pakkumiste korral tuleks regulatsiooni hoiatavat funktsiooni arvestades lähtuda kallimast kindlustuspakkumisest. </w:t>
            </w:r>
          </w:p>
        </w:tc>
      </w:tr>
      <w:tr w:rsidR="00D22FD2" w14:paraId="17468005" w14:textId="77777777" w:rsidTr="00617FBE">
        <w:tc>
          <w:tcPr>
            <w:tcW w:w="576" w:type="dxa"/>
          </w:tcPr>
          <w:p w14:paraId="72FC9D3B" w14:textId="23DC8291" w:rsidR="009575BE" w:rsidRDefault="00143C58">
            <w:pPr>
              <w:jc w:val="center"/>
            </w:pPr>
            <w:r>
              <w:lastRenderedPageBreak/>
              <w:t>10</w:t>
            </w:r>
          </w:p>
        </w:tc>
        <w:tc>
          <w:tcPr>
            <w:tcW w:w="5040" w:type="dxa"/>
          </w:tcPr>
          <w:p w14:paraId="6028DE6D" w14:textId="2E36BA41" w:rsidR="009575BE" w:rsidRDefault="008E0B78" w:rsidP="008F6B46">
            <w:r w:rsidRPr="00D22B21">
              <w:t>VÕS § 403</w:t>
            </w:r>
            <w:r>
              <w:rPr>
                <w:vertAlign w:val="superscript"/>
              </w:rPr>
              <w:t>1</w:t>
            </w:r>
            <w:r>
              <w:t xml:space="preserve"> lg 2 p 8 – seletuskiri vajab täiendamist ja näidet „läbipaistva ja arusaadava“ hüvitise arvutamise sõnastuse kohta. Kas on sobiv kasutada seaduse tekstil põhinevat selgitust?</w:t>
            </w:r>
          </w:p>
        </w:tc>
        <w:tc>
          <w:tcPr>
            <w:tcW w:w="5016" w:type="dxa"/>
          </w:tcPr>
          <w:p w14:paraId="447BD37E" w14:textId="2F2D7EB2" w:rsidR="00656119" w:rsidRDefault="00656119" w:rsidP="00656119">
            <w:pPr>
              <w:rPr>
                <w:b/>
                <w:bCs/>
              </w:rPr>
            </w:pPr>
            <w:r w:rsidRPr="00656119">
              <w:rPr>
                <w:b/>
                <w:bCs/>
              </w:rPr>
              <w:t>Selgitatud.</w:t>
            </w:r>
          </w:p>
          <w:p w14:paraId="1AE9D2BE" w14:textId="14896046" w:rsidR="009719DF" w:rsidRDefault="00656119" w:rsidP="00B3564E">
            <w:r>
              <w:t>J</w:t>
            </w:r>
            <w:r w:rsidR="73E4FBEF">
              <w:t>ustiits- ja Digiministeerium</w:t>
            </w:r>
            <w:r>
              <w:t xml:space="preserve"> eeldab, et silmas on peetud muudetavat VÕS § 404 lg 2 punkti 8, kuna </w:t>
            </w:r>
            <w:r w:rsidR="00D32CF2" w:rsidRPr="00D22B21">
              <w:t>VÕS § 403</w:t>
            </w:r>
            <w:r w:rsidR="00D32CF2">
              <w:rPr>
                <w:vertAlign w:val="superscript"/>
              </w:rPr>
              <w:t>1</w:t>
            </w:r>
            <w:r w:rsidR="00D32CF2">
              <w:t xml:space="preserve"> lg 2 p 8 tunnistatakse kehtetuks.</w:t>
            </w:r>
            <w:r w:rsidR="00DA3B40">
              <w:t xml:space="preserve"> Antud punktis nimetatud teabe esitamiseks võib kasutada seaduse tekstil põhinevat selgitust.  </w:t>
            </w:r>
          </w:p>
        </w:tc>
      </w:tr>
      <w:tr w:rsidR="00D22FD2" w14:paraId="5453650F" w14:textId="77777777" w:rsidTr="00617FBE">
        <w:tc>
          <w:tcPr>
            <w:tcW w:w="576" w:type="dxa"/>
          </w:tcPr>
          <w:p w14:paraId="06A9EDC0" w14:textId="07E7709B" w:rsidR="009575BE" w:rsidRDefault="00143C58">
            <w:pPr>
              <w:jc w:val="center"/>
            </w:pPr>
            <w:r>
              <w:t>11</w:t>
            </w:r>
          </w:p>
        </w:tc>
        <w:tc>
          <w:tcPr>
            <w:tcW w:w="5040" w:type="dxa"/>
          </w:tcPr>
          <w:p w14:paraId="40129F7D" w14:textId="01239A41" w:rsidR="009575BE" w:rsidRPr="00824410" w:rsidRDefault="00824410" w:rsidP="008F6B46">
            <w:r>
              <w:t>VÕS § 403</w:t>
            </w:r>
            <w:r>
              <w:rPr>
                <w:vertAlign w:val="superscript"/>
              </w:rPr>
              <w:t xml:space="preserve">4 </w:t>
            </w:r>
            <w:r>
              <w:t xml:space="preserve">lg 1 p 2 </w:t>
            </w:r>
            <w:r w:rsidR="00D612F5">
              <w:t xml:space="preserve">– sätte täiendamine sõnaga „põhjalikult“ ei loo väärtust ja pigem loob selle lisamine võimaluse direktiivi proportsionaalsuse põhimõttest </w:t>
            </w:r>
            <w:r w:rsidR="004F2E89">
              <w:t xml:space="preserve"> mööda vaadata. See loob võimaluse hinnata krediidiandja pingutusi kui „mittepõhjali</w:t>
            </w:r>
            <w:r w:rsidR="006E0370">
              <w:t xml:space="preserve">kke“. </w:t>
            </w:r>
          </w:p>
        </w:tc>
        <w:tc>
          <w:tcPr>
            <w:tcW w:w="5016" w:type="dxa"/>
          </w:tcPr>
          <w:p w14:paraId="0EECFF22" w14:textId="59A12D52" w:rsidR="00020B21" w:rsidRDefault="00020B21" w:rsidP="00020B21">
            <w:pPr>
              <w:rPr>
                <w:b/>
                <w:bCs/>
              </w:rPr>
            </w:pPr>
            <w:r w:rsidRPr="4BF3645E">
              <w:rPr>
                <w:b/>
                <w:bCs/>
              </w:rPr>
              <w:t>Mittearvestatud</w:t>
            </w:r>
            <w:r w:rsidR="6662F94B" w:rsidRPr="4BF3645E">
              <w:rPr>
                <w:b/>
                <w:bCs/>
              </w:rPr>
              <w:t xml:space="preserve"> / selgitatud</w:t>
            </w:r>
            <w:r w:rsidRPr="4BF3645E">
              <w:rPr>
                <w:b/>
                <w:bCs/>
              </w:rPr>
              <w:t xml:space="preserve">. </w:t>
            </w:r>
          </w:p>
          <w:p w14:paraId="257D55DA" w14:textId="3AE0E745" w:rsidR="0004125C" w:rsidRDefault="00811228" w:rsidP="4BF3645E">
            <w:r>
              <w:t xml:space="preserve">Põhjalikkuse nõue tuleneb direktiivi (EL) </w:t>
            </w:r>
            <w:r w:rsidR="00172EA4">
              <w:t xml:space="preserve">2023/2225 artiklist 18 lg 1 ning see tuleb Eesti õigusesse üle võtta. </w:t>
            </w:r>
            <w:r w:rsidR="7A719F66">
              <w:t xml:space="preserve">See näeb ette üldise põhimõtte, et tarbija kaitsmise ja </w:t>
            </w:r>
            <w:proofErr w:type="spellStart"/>
            <w:r w:rsidR="7A719F66">
              <w:t>ülelaenamise</w:t>
            </w:r>
            <w:proofErr w:type="spellEnd"/>
            <w:r w:rsidR="7A719F66">
              <w:t xml:space="preserve"> vältimise eesmärgil peab tarbija krediidivõimelisuse hindamine olema põhjalik. Samas tuleb arvestada, et se</w:t>
            </w:r>
            <w:r w:rsidR="0BF4699B">
              <w:t>e, missuguseid andmeid krediidiandja peab tarbija kohta koguma ja missugune on hindamistoimingute täpne ulatus, on ette nähtud nii direktiivis kui seda üle võtvas</w:t>
            </w:r>
            <w:r w:rsidR="39F889B5">
              <w:t xml:space="preserve"> VÕS § 403</w:t>
            </w:r>
            <w:r w:rsidR="39F889B5" w:rsidRPr="4BF3645E">
              <w:rPr>
                <w:vertAlign w:val="superscript"/>
              </w:rPr>
              <w:t>4</w:t>
            </w:r>
            <w:r w:rsidR="39F889B5">
              <w:t xml:space="preserve"> järgmistes lõigetes.</w:t>
            </w:r>
            <w:r w:rsidR="0BF4699B">
              <w:t xml:space="preserve"> </w:t>
            </w:r>
            <w:r w:rsidR="000C0D7A">
              <w:t xml:space="preserve">Direktiivi tasandil ei olnud põhjalikkuse nõude eesmärk välistada proportsionaalsuse ja riskipõhisuse põhimõtteid – need täiendavad üksteist. </w:t>
            </w:r>
            <w:r w:rsidR="002A7CAC">
              <w:t>Krediidiandja saab tarbija krediidivõime hindamiseks teabe kogumisel arvestada vajalike, proportsionaalsete ja riskipõhiste kaalutlustega</w:t>
            </w:r>
            <w:r w:rsidR="00AA55C7">
              <w:t xml:space="preserve">. </w:t>
            </w:r>
            <w:r w:rsidR="0004125C">
              <w:t xml:space="preserve"> </w:t>
            </w:r>
          </w:p>
        </w:tc>
      </w:tr>
      <w:tr w:rsidR="00D22FD2" w14:paraId="4DED4B3F" w14:textId="77777777" w:rsidTr="00617FBE">
        <w:tc>
          <w:tcPr>
            <w:tcW w:w="576" w:type="dxa"/>
          </w:tcPr>
          <w:p w14:paraId="1E58DAA0" w14:textId="7C1A97A5" w:rsidR="009575BE" w:rsidRDefault="003C3940">
            <w:pPr>
              <w:jc w:val="center"/>
            </w:pPr>
            <w:r>
              <w:t>12</w:t>
            </w:r>
          </w:p>
        </w:tc>
        <w:tc>
          <w:tcPr>
            <w:tcW w:w="5040" w:type="dxa"/>
          </w:tcPr>
          <w:p w14:paraId="51C7EE5C" w14:textId="2E4F7BA0" w:rsidR="009575BE" w:rsidRPr="006E0370" w:rsidRDefault="006E0370" w:rsidP="008F6B46">
            <w:r>
              <w:t>VÕS § 403</w:t>
            </w:r>
            <w:r>
              <w:rPr>
                <w:vertAlign w:val="superscript"/>
              </w:rPr>
              <w:t>4</w:t>
            </w:r>
            <w:r>
              <w:t xml:space="preserve"> lg 2 - </w:t>
            </w:r>
            <w:r w:rsidR="005A74D0" w:rsidRPr="005A74D0">
              <w:t>ettepanek viidata sätte viimases lauses ka KAVS §</w:t>
            </w:r>
            <w:r w:rsidR="00EE64F5">
              <w:t xml:space="preserve"> </w:t>
            </w:r>
            <w:r w:rsidR="005A74D0" w:rsidRPr="005A74D0">
              <w:t>50 lõikele 3</w:t>
            </w:r>
            <w:r w:rsidR="00EE64F5">
              <w:t xml:space="preserve">. </w:t>
            </w:r>
          </w:p>
        </w:tc>
        <w:tc>
          <w:tcPr>
            <w:tcW w:w="5016" w:type="dxa"/>
          </w:tcPr>
          <w:p w14:paraId="40ECB968" w14:textId="2397C043" w:rsidR="00F96319" w:rsidRPr="001E7EA5" w:rsidRDefault="001E7EA5" w:rsidP="00F96319">
            <w:pPr>
              <w:rPr>
                <w:b/>
                <w:bCs/>
              </w:rPr>
            </w:pPr>
            <w:r w:rsidRPr="001E7EA5">
              <w:rPr>
                <w:b/>
                <w:bCs/>
              </w:rPr>
              <w:t>Mittearvestatud</w:t>
            </w:r>
            <w:r w:rsidR="0167A24F" w:rsidRPr="451D423D">
              <w:rPr>
                <w:b/>
                <w:bCs/>
              </w:rPr>
              <w:t xml:space="preserve"> / Selgitatud</w:t>
            </w:r>
            <w:r w:rsidRPr="001E7EA5">
              <w:rPr>
                <w:b/>
                <w:bCs/>
              </w:rPr>
              <w:t xml:space="preserve">. </w:t>
            </w:r>
          </w:p>
          <w:p w14:paraId="7E102F23" w14:textId="2BDFB872" w:rsidR="005F0557" w:rsidRDefault="00E85193" w:rsidP="007B6359">
            <w:r>
              <w:t>VÕS § 403</w:t>
            </w:r>
            <w:r>
              <w:rPr>
                <w:vertAlign w:val="superscript"/>
              </w:rPr>
              <w:t>4</w:t>
            </w:r>
            <w:r>
              <w:t xml:space="preserve"> lg 2 </w:t>
            </w:r>
            <w:r w:rsidR="001F1F6B">
              <w:t>käsitleb olemuslikult krediidivõime hindamist, mitte saadud teabe kontrollimist</w:t>
            </w:r>
            <w:r w:rsidR="00A83FEF">
              <w:t xml:space="preserve">, mistõttu ei ole nimetatud sättes viide teabe kontrollimisele asjakohane. KAVS § 50 </w:t>
            </w:r>
            <w:proofErr w:type="spellStart"/>
            <w:r w:rsidR="00A83FEF">
              <w:t>lg-le</w:t>
            </w:r>
            <w:proofErr w:type="spellEnd"/>
            <w:r w:rsidR="00A83FEF">
              <w:t xml:space="preserve"> 3 (ja </w:t>
            </w:r>
            <w:proofErr w:type="spellStart"/>
            <w:r w:rsidR="00A83FEF">
              <w:t>lg-le</w:t>
            </w:r>
            <w:proofErr w:type="spellEnd"/>
            <w:r w:rsidR="00A83FEF">
              <w:t xml:space="preserve"> 4) </w:t>
            </w:r>
            <w:r w:rsidR="002A248A">
              <w:t xml:space="preserve">viidatakse </w:t>
            </w:r>
            <w:r w:rsidR="00D52369">
              <w:t>samuti</w:t>
            </w:r>
            <w:r w:rsidR="007B6359">
              <w:t xml:space="preserve"> juba</w:t>
            </w:r>
            <w:r w:rsidR="00A83FEF">
              <w:t xml:space="preserve"> VÕS § 403</w:t>
            </w:r>
            <w:r w:rsidR="00A83FEF">
              <w:rPr>
                <w:vertAlign w:val="superscript"/>
              </w:rPr>
              <w:t>4</w:t>
            </w:r>
            <w:r w:rsidR="00A83FEF">
              <w:t xml:space="preserve"> </w:t>
            </w:r>
            <w:proofErr w:type="spellStart"/>
            <w:r w:rsidR="00A83FEF">
              <w:t>lg-s</w:t>
            </w:r>
            <w:proofErr w:type="spellEnd"/>
            <w:r w:rsidR="00A83FEF">
              <w:t xml:space="preserve"> </w:t>
            </w:r>
            <w:r w:rsidR="00D3277C">
              <w:t>4</w:t>
            </w:r>
            <w:r w:rsidR="00D30F70">
              <w:t xml:space="preserve">. Muudetavas KAVS § 50 </w:t>
            </w:r>
            <w:proofErr w:type="spellStart"/>
            <w:r w:rsidR="00D30F70">
              <w:t>lg-s</w:t>
            </w:r>
            <w:proofErr w:type="spellEnd"/>
            <w:r w:rsidR="00847675">
              <w:t xml:space="preserve"> 3 </w:t>
            </w:r>
            <w:r w:rsidR="007B6359">
              <w:t>sätestatakse</w:t>
            </w:r>
            <w:r w:rsidR="00847675">
              <w:t xml:space="preserve"> muu hulgas</w:t>
            </w:r>
            <w:r w:rsidR="00D52369">
              <w:t>, et „</w:t>
            </w:r>
            <w:r w:rsidR="00D87660">
              <w:t>k</w:t>
            </w:r>
            <w:r w:rsidR="00D87660" w:rsidRPr="00A0406A">
              <w:rPr>
                <w:rFonts w:eastAsia="Times New Roman"/>
                <w:kern w:val="0"/>
                <w:lang w:eastAsia="et-EE"/>
                <w14:ligatures w14:val="none"/>
              </w:rPr>
              <w:t xml:space="preserve">rediidiandja või -vahendaja kontrollib </w:t>
            </w:r>
            <w:r w:rsidR="00D87660" w:rsidRPr="4719EC91">
              <w:rPr>
                <w:rFonts w:eastAsia="Times New Roman"/>
                <w:lang w:eastAsia="et-EE"/>
              </w:rPr>
              <w:t xml:space="preserve">asjakohaselt </w:t>
            </w:r>
            <w:r w:rsidR="00D87660" w:rsidRPr="00A0406A">
              <w:rPr>
                <w:rFonts w:eastAsia="Times New Roman"/>
                <w:kern w:val="0"/>
                <w:lang w:eastAsia="et-EE"/>
                <w14:ligatures w14:val="none"/>
              </w:rPr>
              <w:t xml:space="preserve">tarbija esitatud </w:t>
            </w:r>
            <w:r w:rsidR="00D87660" w:rsidRPr="4719EC91">
              <w:rPr>
                <w:rFonts w:eastAsia="Times New Roman"/>
                <w:lang w:eastAsia="et-EE"/>
              </w:rPr>
              <w:t xml:space="preserve"> ja muud krediidivõimelisuse hindamisel kasutatavat </w:t>
            </w:r>
            <w:r w:rsidR="00D87660" w:rsidRPr="00A0406A">
              <w:rPr>
                <w:rFonts w:eastAsia="Times New Roman"/>
                <w:kern w:val="0"/>
                <w:lang w:eastAsia="et-EE"/>
                <w14:ligatures w14:val="none"/>
              </w:rPr>
              <w:t xml:space="preserve">teavet, arvestades käesolevas seaduses ja </w:t>
            </w:r>
            <w:r w:rsidR="00D87660" w:rsidRPr="00D87660">
              <w:rPr>
                <w:rFonts w:eastAsia="Times New Roman"/>
                <w:kern w:val="0"/>
                <w:u w:val="single"/>
                <w:lang w:eastAsia="et-EE"/>
                <w14:ligatures w14:val="none"/>
              </w:rPr>
              <w:t>võlaõigusseaduses sätestatud nõudeid info</w:t>
            </w:r>
            <w:r w:rsidR="00D87660" w:rsidRPr="00D87660">
              <w:rPr>
                <w:rFonts w:eastAsia="Times New Roman"/>
                <w:u w:val="single"/>
                <w:lang w:eastAsia="et-EE"/>
              </w:rPr>
              <w:t>rmatsiooni</w:t>
            </w:r>
            <w:r w:rsidR="00D87660" w:rsidRPr="00D87660">
              <w:rPr>
                <w:rFonts w:eastAsia="Times New Roman"/>
                <w:kern w:val="0"/>
                <w:u w:val="single"/>
                <w:lang w:eastAsia="et-EE"/>
                <w14:ligatures w14:val="none"/>
              </w:rPr>
              <w:t xml:space="preserve"> kogumisele</w:t>
            </w:r>
            <w:r w:rsidR="00D87660">
              <w:rPr>
                <w:rFonts w:eastAsia="Times New Roman"/>
                <w:kern w:val="0"/>
                <w:lang w:eastAsia="et-EE"/>
                <w14:ligatures w14:val="none"/>
              </w:rPr>
              <w:t xml:space="preserve">“, </w:t>
            </w:r>
            <w:r w:rsidR="007B6359">
              <w:rPr>
                <w:rFonts w:eastAsia="Times New Roman"/>
                <w:kern w:val="0"/>
                <w:lang w:eastAsia="et-EE"/>
                <w14:ligatures w14:val="none"/>
              </w:rPr>
              <w:t>mis loob teabe kontrollimis</w:t>
            </w:r>
            <w:r w:rsidR="00DD2C99">
              <w:rPr>
                <w:rFonts w:eastAsia="Times New Roman"/>
                <w:kern w:val="0"/>
                <w:lang w:eastAsia="et-EE"/>
                <w14:ligatures w14:val="none"/>
              </w:rPr>
              <w:t>e kohustuse juures</w:t>
            </w:r>
            <w:r w:rsidR="007B6359">
              <w:rPr>
                <w:rFonts w:eastAsia="Times New Roman"/>
                <w:kern w:val="0"/>
                <w:lang w:eastAsia="et-EE"/>
                <w14:ligatures w14:val="none"/>
              </w:rPr>
              <w:t xml:space="preserve"> seose proportsionaalsuse ja riskipõhisusega. </w:t>
            </w:r>
            <w:r w:rsidR="00BD2F0E">
              <w:t xml:space="preserve"> </w:t>
            </w:r>
          </w:p>
        </w:tc>
      </w:tr>
      <w:tr w:rsidR="00D22FD2" w14:paraId="2E977D1F" w14:textId="77777777" w:rsidTr="00617FBE">
        <w:tc>
          <w:tcPr>
            <w:tcW w:w="576" w:type="dxa"/>
          </w:tcPr>
          <w:p w14:paraId="236CA1B4" w14:textId="4BDB6854" w:rsidR="009575BE" w:rsidRDefault="003C3940">
            <w:pPr>
              <w:jc w:val="center"/>
            </w:pPr>
            <w:r>
              <w:t>13</w:t>
            </w:r>
          </w:p>
        </w:tc>
        <w:tc>
          <w:tcPr>
            <w:tcW w:w="5040" w:type="dxa"/>
          </w:tcPr>
          <w:p w14:paraId="19844CDC" w14:textId="79532DB3" w:rsidR="009575BE" w:rsidRDefault="00B7720B" w:rsidP="008F6B46">
            <w:r>
              <w:t xml:space="preserve">Ettepanek sõnastada </w:t>
            </w:r>
            <w:r w:rsidR="00CC725B">
              <w:t>VÕS § 403</w:t>
            </w:r>
            <w:r w:rsidR="00CC725B">
              <w:rPr>
                <w:vertAlign w:val="superscript"/>
              </w:rPr>
              <w:t>4</w:t>
            </w:r>
            <w:r w:rsidR="00CC725B">
              <w:t xml:space="preserve"> lg </w:t>
            </w:r>
            <w:r>
              <w:t>4 järgnevalt: „</w:t>
            </w:r>
            <w:r w:rsidR="0019368A" w:rsidRPr="0019368A">
              <w:t xml:space="preserve">Tarbija krediidivõimelisuse hindamist võimaldava teabe omandamiseks teavitab krediidiandja tarbijat, missuguse käesoleva paragrahvi lõikes 2 viidatud teabe, missugused </w:t>
            </w:r>
            <w:r w:rsidR="0019368A" w:rsidRPr="0019368A">
              <w:lastRenderedPageBreak/>
              <w:t xml:space="preserve">tõendid selle kohta ja missuguse tähtaja jooksul peab tarbija krediidiandjale esitama. Tarbija </w:t>
            </w:r>
            <w:r w:rsidR="0019368A" w:rsidRPr="0019368A">
              <w:rPr>
                <w:b/>
                <w:bCs/>
              </w:rPr>
              <w:t>on kohustatud</w:t>
            </w:r>
            <w:r w:rsidR="0019368A" w:rsidRPr="0019368A">
              <w:t xml:space="preserve"> esitama krediidiandjale õige ja täieliku teabe, mis on vajalik tema krediidivõimelisuse hindamiseks. Kui tarbija rikub nimetatud kohustust, kaotab ta käesoleva seaduse § 4034 lõikes 7 sätestatud kaitse. Krediidiandja kontrollib tarbija esitatud ja muud krediidivõimelisuse hindamisel kasutatud teavet vastavalt krediidiandjate ja -vahendajate seaduse § 50 lõigetele 3 ja 4.</w:t>
            </w:r>
            <w:r w:rsidR="0019368A">
              <w:t>“</w:t>
            </w:r>
          </w:p>
        </w:tc>
        <w:tc>
          <w:tcPr>
            <w:tcW w:w="5016" w:type="dxa"/>
          </w:tcPr>
          <w:p w14:paraId="250F1A3B" w14:textId="509CDC47" w:rsidR="00154DE4" w:rsidRDefault="002F1312" w:rsidP="002F1312">
            <w:pPr>
              <w:rPr>
                <w:b/>
                <w:bCs/>
              </w:rPr>
            </w:pPr>
            <w:r w:rsidRPr="002F1312">
              <w:rPr>
                <w:b/>
                <w:bCs/>
              </w:rPr>
              <w:lastRenderedPageBreak/>
              <w:t xml:space="preserve">Arvestatud osaliselt. </w:t>
            </w:r>
          </w:p>
          <w:p w14:paraId="2C0426B5" w14:textId="1D5EFBA3" w:rsidR="002F1312" w:rsidRDefault="002F1312" w:rsidP="002F1312">
            <w:r>
              <w:t>VÕS § 403</w:t>
            </w:r>
            <w:r>
              <w:rPr>
                <w:vertAlign w:val="superscript"/>
              </w:rPr>
              <w:t>4</w:t>
            </w:r>
            <w:r>
              <w:t xml:space="preserve"> lg 4 sõnastust muudetakse selliselt, et sellest tuleneb se</w:t>
            </w:r>
            <w:r w:rsidR="3704FFD9">
              <w:t xml:space="preserve">nisest selgemalt </w:t>
            </w:r>
            <w:r w:rsidR="00553BE8">
              <w:t xml:space="preserve">tarbija kohustus esitada krediidiandjale õiget ja täielikku teavet. </w:t>
            </w:r>
          </w:p>
          <w:p w14:paraId="03855EEE" w14:textId="7065FCE8" w:rsidR="0077206B" w:rsidRDefault="003A1826" w:rsidP="00D914AC">
            <w:r>
              <w:lastRenderedPageBreak/>
              <w:t xml:space="preserve">Küll aga ei arvestata </w:t>
            </w:r>
            <w:r w:rsidR="0021147E">
              <w:t>VÕS § 403</w:t>
            </w:r>
            <w:r w:rsidR="0021147E">
              <w:rPr>
                <w:vertAlign w:val="superscript"/>
              </w:rPr>
              <w:t>4</w:t>
            </w:r>
            <w:r w:rsidR="0021147E">
              <w:t xml:space="preserve"> lg 4 </w:t>
            </w:r>
            <w:r w:rsidR="00C05F7B">
              <w:t>kolmanda</w:t>
            </w:r>
            <w:r>
              <w:t xml:space="preserve"> </w:t>
            </w:r>
            <w:r w:rsidR="00C05F7B">
              <w:t xml:space="preserve">lause </w:t>
            </w:r>
            <w:r>
              <w:t xml:space="preserve">muudatusettepanekuga/lisamisega. </w:t>
            </w:r>
            <w:r w:rsidR="000C67FD">
              <w:t>VÕS § 40</w:t>
            </w:r>
            <w:r w:rsidR="001E6118">
              <w:t>3</w:t>
            </w:r>
            <w:r w:rsidR="001E6118">
              <w:rPr>
                <w:vertAlign w:val="superscript"/>
              </w:rPr>
              <w:t>4</w:t>
            </w:r>
            <w:r w:rsidR="001E6118">
              <w:t xml:space="preserve"> lg 7 juba sätestab, et </w:t>
            </w:r>
            <w:r w:rsidR="001E6118" w:rsidRPr="001E6118">
              <w:t xml:space="preserve">lõikes sätestatut ei kohaldata, kui tarbija on </w:t>
            </w:r>
            <w:r w:rsidR="001E6118" w:rsidRPr="0052283F">
              <w:rPr>
                <w:b/>
                <w:bCs/>
              </w:rPr>
              <w:t>tahtlikult</w:t>
            </w:r>
            <w:r w:rsidR="001E6118" w:rsidRPr="001E6118">
              <w:t xml:space="preserve"> jätnud esitamata teabe vastavalt käesoleva paragrahvi lõigetele 3 ja 4 või </w:t>
            </w:r>
            <w:r w:rsidR="001E6118" w:rsidRPr="0052283F">
              <w:rPr>
                <w:b/>
                <w:bCs/>
              </w:rPr>
              <w:t>võltsinud</w:t>
            </w:r>
            <w:r w:rsidR="001E6118" w:rsidRPr="001E6118">
              <w:t xml:space="preserve"> krediidiandjale esitatud teavet ja selle tagajärjel on krediidiandja hinnanud tarbija krediidivõimelisust valesti.</w:t>
            </w:r>
            <w:r w:rsidR="001E6118">
              <w:t xml:space="preserve"> </w:t>
            </w:r>
            <w:r w:rsidR="003C6DA7">
              <w:t>Sellest tulenevalt on l</w:t>
            </w:r>
            <w:r w:rsidR="00EA0900">
              <w:t>õikes 7</w:t>
            </w:r>
            <w:r w:rsidR="003C6DA7">
              <w:t xml:space="preserve"> nimetatud kaitse kaotus seotud teabe tahtliku esitamata jätmisega </w:t>
            </w:r>
            <w:r w:rsidR="00EA0900">
              <w:t>või andmete võltsimisega. Kui lisada lõikesse 4 lause</w:t>
            </w:r>
            <w:r w:rsidR="003429F6">
              <w:t xml:space="preserve"> </w:t>
            </w:r>
            <w:r w:rsidR="00EA0900">
              <w:t>„</w:t>
            </w:r>
            <w:r w:rsidR="003429F6">
              <w:t>k</w:t>
            </w:r>
            <w:r w:rsidR="00EA0900" w:rsidRPr="0019368A">
              <w:t>ui tarbija rikub nimetatud kohustust, kaotab ta käesoleva seaduse § 4034 lõikes 7 sätestatud kaitse</w:t>
            </w:r>
            <w:r w:rsidR="003429F6">
              <w:t xml:space="preserve">“, võivad sellega olla hõlmatud ka olukorrad, kus tegemist on pelgalt tarbija eksimusega </w:t>
            </w:r>
            <w:r w:rsidR="002224CB">
              <w:t xml:space="preserve">või kui krediidiandja pole andnud piisavalt selgeid juhiseid. </w:t>
            </w:r>
            <w:r w:rsidR="00D914AC">
              <w:t xml:space="preserve">Sellist riski ei saa jätta tarbija kanda ning see ei ole ka direktiiv eesmärk. </w:t>
            </w:r>
            <w:r w:rsidR="008E4732">
              <w:t xml:space="preserve"> </w:t>
            </w:r>
          </w:p>
        </w:tc>
      </w:tr>
      <w:tr w:rsidR="00D22FD2" w14:paraId="3AF0070F" w14:textId="77777777" w:rsidTr="00617FBE">
        <w:tc>
          <w:tcPr>
            <w:tcW w:w="576" w:type="dxa"/>
          </w:tcPr>
          <w:p w14:paraId="04A7CBA2" w14:textId="77639B31" w:rsidR="009575BE" w:rsidRDefault="00A55A7D">
            <w:pPr>
              <w:jc w:val="center"/>
            </w:pPr>
            <w:r>
              <w:lastRenderedPageBreak/>
              <w:t>14</w:t>
            </w:r>
          </w:p>
        </w:tc>
        <w:tc>
          <w:tcPr>
            <w:tcW w:w="5040" w:type="dxa"/>
          </w:tcPr>
          <w:p w14:paraId="343BB043" w14:textId="484E724A" w:rsidR="009575BE" w:rsidRDefault="00496DC2" w:rsidP="008F6B46">
            <w:r w:rsidRPr="00496DC2">
              <w:t>VÕS § 403</w:t>
            </w:r>
            <w:r>
              <w:rPr>
                <w:vertAlign w:val="superscript"/>
              </w:rPr>
              <w:t>4</w:t>
            </w:r>
            <w:r w:rsidRPr="00496DC2">
              <w:t xml:space="preserve"> lg 4 ja KAVS § 50 lg 3</w:t>
            </w:r>
            <w:r>
              <w:t xml:space="preserve"> sisu ei ole kooskõlas. </w:t>
            </w:r>
            <w:r w:rsidR="00971D92" w:rsidRPr="00496DC2">
              <w:t>VÕS § 403</w:t>
            </w:r>
            <w:r w:rsidR="00971D92">
              <w:rPr>
                <w:vertAlign w:val="superscript"/>
              </w:rPr>
              <w:t>4</w:t>
            </w:r>
            <w:r w:rsidR="00971D92" w:rsidRPr="00496DC2">
              <w:t xml:space="preserve"> lg 4</w:t>
            </w:r>
            <w:r w:rsidR="00971D92">
              <w:t xml:space="preserve"> seletuskirja kohaselt tuleb krediidiandjal kontrollida ka muu krediidivõimelisuse hindamisel kasutatud teavet, </w:t>
            </w:r>
            <w:r w:rsidR="00460083">
              <w:t xml:space="preserve">KAVS § 50 lg 3 sätestab aga kohustuse kontrollida vaid tarbija esitatud teavet. </w:t>
            </w:r>
          </w:p>
        </w:tc>
        <w:tc>
          <w:tcPr>
            <w:tcW w:w="5016" w:type="dxa"/>
          </w:tcPr>
          <w:p w14:paraId="6206CFF0" w14:textId="71BDC94A" w:rsidR="00B71E7A" w:rsidRDefault="00B71E7A" w:rsidP="00B71E7A">
            <w:pPr>
              <w:rPr>
                <w:b/>
                <w:bCs/>
              </w:rPr>
            </w:pPr>
            <w:r w:rsidRPr="00B71E7A">
              <w:rPr>
                <w:b/>
                <w:bCs/>
              </w:rPr>
              <w:t xml:space="preserve">Arvestatud osaliselt. </w:t>
            </w:r>
          </w:p>
          <w:p w14:paraId="70E5CCD5" w14:textId="66EA84D3" w:rsidR="008E4732" w:rsidRDefault="00174DCB" w:rsidP="009D40D1">
            <w:r>
              <w:t>Direktii</w:t>
            </w:r>
            <w:r w:rsidR="00991648">
              <w:t xml:space="preserve">vi </w:t>
            </w:r>
            <w:r w:rsidR="00276278">
              <w:t xml:space="preserve">(EL) </w:t>
            </w:r>
            <w:r w:rsidR="00111EE3">
              <w:t>2</w:t>
            </w:r>
            <w:r w:rsidR="00276278">
              <w:t>0</w:t>
            </w:r>
            <w:r w:rsidR="00111EE3">
              <w:t>2</w:t>
            </w:r>
            <w:r w:rsidR="00276278">
              <w:t xml:space="preserve">3/2225 artikkel 18 lõike 3 teine lõik sätestab teabe </w:t>
            </w:r>
            <w:r w:rsidR="00667CC7">
              <w:t xml:space="preserve">asjakohase </w:t>
            </w:r>
            <w:r w:rsidR="00276278">
              <w:t xml:space="preserve">kontrollimise kohustuse </w:t>
            </w:r>
            <w:r w:rsidR="00403F15">
              <w:t>kogu krediidivõimelisuse hindamiseks kontrollitud teabe osa</w:t>
            </w:r>
            <w:r w:rsidR="00667CC7">
              <w:t xml:space="preserve">s. Küll aga on õige märkus, et KAVS § </w:t>
            </w:r>
            <w:r w:rsidR="00774594">
              <w:t xml:space="preserve">50 lg 3 reguleerib vaid tarbija esitatud teabe </w:t>
            </w:r>
            <w:r w:rsidR="009D40D1">
              <w:t>kontrollimist</w:t>
            </w:r>
            <w:r w:rsidR="00774594">
              <w:t>. Seaduse direktiiviga kooskõlla viimiseks ja vastuolu kõrvaldamiseks muudetakse KAVS §-i 50 selliselt, et see reguleeriks</w:t>
            </w:r>
            <w:r w:rsidR="00111EE3">
              <w:t xml:space="preserve"> nii tarbija esitatud kui ka muu krediidivõimelisuse hindamisel kasutatud teabe kontrollimist. </w:t>
            </w:r>
            <w:r w:rsidR="000E2947">
              <w:t xml:space="preserve"> </w:t>
            </w:r>
          </w:p>
        </w:tc>
      </w:tr>
      <w:tr w:rsidR="00D22FD2" w14:paraId="58118EC2" w14:textId="77777777" w:rsidTr="00617FBE">
        <w:tc>
          <w:tcPr>
            <w:tcW w:w="576" w:type="dxa"/>
          </w:tcPr>
          <w:p w14:paraId="254B91B5" w14:textId="7287ACF7" w:rsidR="009575BE" w:rsidRDefault="00C128C4">
            <w:pPr>
              <w:jc w:val="center"/>
            </w:pPr>
            <w:r>
              <w:t>15</w:t>
            </w:r>
          </w:p>
        </w:tc>
        <w:tc>
          <w:tcPr>
            <w:tcW w:w="5040" w:type="dxa"/>
          </w:tcPr>
          <w:p w14:paraId="5F219CA0" w14:textId="170910E0" w:rsidR="009575BE" w:rsidRDefault="00E01B93" w:rsidP="008F6B46">
            <w:r w:rsidRPr="00496DC2">
              <w:t>VÕS § 403</w:t>
            </w:r>
            <w:r>
              <w:rPr>
                <w:vertAlign w:val="superscript"/>
              </w:rPr>
              <w:t>4</w:t>
            </w:r>
            <w:r w:rsidRPr="00496DC2">
              <w:t xml:space="preserve"> lg</w:t>
            </w:r>
            <w:r>
              <w:t xml:space="preserve"> </w:t>
            </w:r>
            <w:r w:rsidR="007E791F">
              <w:t>9 – mida tähendab mõiste „märkimisväärne“ – millega võrrelduna, kas algse summaga?</w:t>
            </w:r>
          </w:p>
        </w:tc>
        <w:tc>
          <w:tcPr>
            <w:tcW w:w="5016" w:type="dxa"/>
          </w:tcPr>
          <w:p w14:paraId="570BED10" w14:textId="28422143" w:rsidR="00A11237" w:rsidRPr="008837E7" w:rsidRDefault="00A11237" w:rsidP="00A11237">
            <w:pPr>
              <w:rPr>
                <w:b/>
                <w:bCs/>
              </w:rPr>
            </w:pPr>
            <w:r w:rsidRPr="008837E7">
              <w:rPr>
                <w:b/>
                <w:bCs/>
              </w:rPr>
              <w:t>Selgitatud.</w:t>
            </w:r>
          </w:p>
          <w:p w14:paraId="27829818" w14:textId="7E506413" w:rsidR="00631426" w:rsidRDefault="4C2420B9" w:rsidP="008837E7">
            <w:r>
              <w:t>Märkimisväär</w:t>
            </w:r>
            <w:r w:rsidR="7461D56A">
              <w:t>set muutmist tuleb hinnata võrreldes esialgse krediidisumma või krediidi</w:t>
            </w:r>
            <w:r w:rsidR="12E1F58F">
              <w:t xml:space="preserve"> ülempiiriga. </w:t>
            </w:r>
            <w:r w:rsidR="65AE081F">
              <w:t xml:space="preserve">Vastav selgitus on lisatud ka eelnõu seletuskirja. </w:t>
            </w:r>
          </w:p>
        </w:tc>
      </w:tr>
      <w:tr w:rsidR="00D22FD2" w14:paraId="08A7F88D" w14:textId="77777777" w:rsidTr="00617FBE">
        <w:tc>
          <w:tcPr>
            <w:tcW w:w="576" w:type="dxa"/>
          </w:tcPr>
          <w:p w14:paraId="349E919A" w14:textId="4F44F421" w:rsidR="009575BE" w:rsidRDefault="00C128C4">
            <w:pPr>
              <w:jc w:val="center"/>
            </w:pPr>
            <w:r>
              <w:t>16</w:t>
            </w:r>
          </w:p>
        </w:tc>
        <w:tc>
          <w:tcPr>
            <w:tcW w:w="5040" w:type="dxa"/>
          </w:tcPr>
          <w:p w14:paraId="424494B7" w14:textId="25559F4A" w:rsidR="009575BE" w:rsidRDefault="00753738" w:rsidP="008F6B46">
            <w:r w:rsidRPr="00496DC2">
              <w:t>VÕS § 403</w:t>
            </w:r>
            <w:r>
              <w:rPr>
                <w:vertAlign w:val="superscript"/>
              </w:rPr>
              <w:t>4</w:t>
            </w:r>
            <w:r w:rsidRPr="00496DC2">
              <w:t xml:space="preserve"> lg</w:t>
            </w:r>
            <w:r>
              <w:t xml:space="preserve"> 10 </w:t>
            </w:r>
            <w:r w:rsidR="006258B2">
              <w:t xml:space="preserve">– mõiste „andmete liik“ </w:t>
            </w:r>
            <w:r w:rsidR="006258B2" w:rsidRPr="006258B2">
              <w:t>viitab andmekategooriate nimetamisele (nt maksehäire, olemasolev krediidikohustus), mitte üksikute andmeväljade, konkreetsete kirjete, krediidiskoori arvutusloogika või muude metodoloogiliste andmete avaldamisele.</w:t>
            </w:r>
            <w:r w:rsidR="00281984">
              <w:t xml:space="preserve"> Ettepanek täpsustada, mida peavad sisaldama päringu tulemused. </w:t>
            </w:r>
          </w:p>
        </w:tc>
        <w:tc>
          <w:tcPr>
            <w:tcW w:w="5016" w:type="dxa"/>
          </w:tcPr>
          <w:p w14:paraId="65C56D07" w14:textId="28502342" w:rsidR="00672555" w:rsidRPr="00FB221A" w:rsidRDefault="00EE0C18" w:rsidP="00672555">
            <w:pPr>
              <w:rPr>
                <w:b/>
                <w:bCs/>
              </w:rPr>
            </w:pPr>
            <w:r w:rsidRPr="00FB221A">
              <w:rPr>
                <w:b/>
                <w:bCs/>
              </w:rPr>
              <w:t xml:space="preserve">Arvestatud. </w:t>
            </w:r>
          </w:p>
          <w:p w14:paraId="5C0A0D2A" w14:textId="0C052314" w:rsidR="00B9266E" w:rsidRDefault="00FB221A" w:rsidP="00306932">
            <w:r>
              <w:t xml:space="preserve">Seletuskirjas on toodud näiteid, millised andme liike tuleb nimetada (maksehäired, olemasolevad kohustused </w:t>
            </w:r>
            <w:r w:rsidR="00D563E4">
              <w:t>vms). Muudatusettepanekust tulenevalt täpsustatakse seletuskirjas, et „andmete liigi“ all ei ole silmas</w:t>
            </w:r>
            <w:r w:rsidR="000A2085">
              <w:t xml:space="preserve"> selliseid tehnilisi andmeid, mis siinses märkuses on välja toodud. </w:t>
            </w:r>
          </w:p>
        </w:tc>
      </w:tr>
      <w:tr w:rsidR="00D22FD2" w14:paraId="0725A95E" w14:textId="77777777" w:rsidTr="00617FBE">
        <w:trPr>
          <w:trHeight w:val="1995"/>
        </w:trPr>
        <w:tc>
          <w:tcPr>
            <w:tcW w:w="576" w:type="dxa"/>
          </w:tcPr>
          <w:p w14:paraId="2EF6E91A" w14:textId="4524142A" w:rsidR="009575BE" w:rsidRDefault="00C128C4">
            <w:pPr>
              <w:jc w:val="center"/>
            </w:pPr>
            <w:r>
              <w:t>17</w:t>
            </w:r>
          </w:p>
        </w:tc>
        <w:tc>
          <w:tcPr>
            <w:tcW w:w="5040" w:type="dxa"/>
          </w:tcPr>
          <w:p w14:paraId="515966E8" w14:textId="5746D85F" w:rsidR="009575BE" w:rsidRDefault="00281984" w:rsidP="008F6B46">
            <w:r w:rsidRPr="00496DC2">
              <w:t>VÕS § 403</w:t>
            </w:r>
            <w:r>
              <w:rPr>
                <w:vertAlign w:val="superscript"/>
              </w:rPr>
              <w:t>4</w:t>
            </w:r>
            <w:r w:rsidRPr="00496DC2">
              <w:t xml:space="preserve"> lg</w:t>
            </w:r>
            <w:r>
              <w:t xml:space="preserve"> 1</w:t>
            </w:r>
            <w:r w:rsidR="00157D4A">
              <w:t>1</w:t>
            </w:r>
            <w:r>
              <w:t xml:space="preserve"> – seletuskirja tuleb täiendada osas, millisel viisil loetakse võlanõustamise teavitamise kohustus kohaselt täidetuks. </w:t>
            </w:r>
          </w:p>
        </w:tc>
        <w:tc>
          <w:tcPr>
            <w:tcW w:w="5016" w:type="dxa"/>
          </w:tcPr>
          <w:p w14:paraId="7B09DC82" w14:textId="249F801D" w:rsidR="009575BE" w:rsidRDefault="237BAA59" w:rsidP="001525CD">
            <w:r w:rsidRPr="700DA59A">
              <w:rPr>
                <w:b/>
                <w:bCs/>
              </w:rPr>
              <w:t>Arvestatud /</w:t>
            </w:r>
            <w:r w:rsidR="001525CD">
              <w:rPr>
                <w:b/>
                <w:bCs/>
              </w:rPr>
              <w:t xml:space="preserve"> S</w:t>
            </w:r>
            <w:r w:rsidRPr="700DA59A">
              <w:rPr>
                <w:b/>
                <w:bCs/>
              </w:rPr>
              <w:t>elgitatud</w:t>
            </w:r>
          </w:p>
          <w:p w14:paraId="6DCDB1AA" w14:textId="3E73EFCD" w:rsidR="005B12F2" w:rsidRDefault="5213A91F" w:rsidP="001525CD">
            <w:r>
              <w:t>Eelnõu seletuskirja on täiendatud. Tarbijale edastatav teavitus võib olla standardne, teavituses võib viidata näiteks Finantsinspektsiooni hallatavale lehele minuraha.ee, kust leiab in</w:t>
            </w:r>
            <w:r w:rsidR="7BAE9357">
              <w:t xml:space="preserve">fot võlanõustamise ja võlanõustajate kontaktide kohta. </w:t>
            </w:r>
          </w:p>
        </w:tc>
      </w:tr>
      <w:tr w:rsidR="00D22FD2" w14:paraId="58CC68DB" w14:textId="77777777" w:rsidTr="00617FBE">
        <w:tc>
          <w:tcPr>
            <w:tcW w:w="576" w:type="dxa"/>
          </w:tcPr>
          <w:p w14:paraId="4ADF301F" w14:textId="67910712" w:rsidR="009575BE" w:rsidRDefault="001C022C">
            <w:pPr>
              <w:jc w:val="center"/>
            </w:pPr>
            <w:r>
              <w:t>18</w:t>
            </w:r>
          </w:p>
        </w:tc>
        <w:tc>
          <w:tcPr>
            <w:tcW w:w="5040" w:type="dxa"/>
          </w:tcPr>
          <w:p w14:paraId="6F45FF35" w14:textId="633DB8AA" w:rsidR="009575BE" w:rsidRPr="00CD6DBC" w:rsidRDefault="00CD6DBC" w:rsidP="008F6B46">
            <w:r w:rsidRPr="00496DC2">
              <w:t>VÕS § 403</w:t>
            </w:r>
            <w:r>
              <w:rPr>
                <w:vertAlign w:val="superscript"/>
              </w:rPr>
              <w:t>4</w:t>
            </w:r>
            <w:r w:rsidRPr="00496DC2">
              <w:t xml:space="preserve"> lg</w:t>
            </w:r>
            <w:r>
              <w:t xml:space="preserve"> 11</w:t>
            </w:r>
            <w:r>
              <w:rPr>
                <w:vertAlign w:val="superscript"/>
              </w:rPr>
              <w:t>1</w:t>
            </w:r>
            <w:r w:rsidR="007511A2">
              <w:t xml:space="preserve"> – seletuskirja tuleb täiendada selgitusega, </w:t>
            </w:r>
            <w:r w:rsidR="007511A2" w:rsidRPr="007511A2">
              <w:t xml:space="preserve">et tegemist on kitsalt piiritletud </w:t>
            </w:r>
            <w:r w:rsidR="007511A2" w:rsidRPr="007511A2">
              <w:lastRenderedPageBreak/>
              <w:t xml:space="preserve">teavitamiskohustusega, mis rakendub üksnes krediiditaotluse tagasilükkamise (sisuliselt negatiivse otsuse korral </w:t>
            </w:r>
            <w:r w:rsidR="007511A2">
              <w:t>tarbijakrediidi direktiivi</w:t>
            </w:r>
            <w:r w:rsidR="007511A2" w:rsidRPr="007511A2">
              <w:t xml:space="preserve"> art.18 lg 9 tähenduses) korral juhul, kui otsus põhineb automatiseeritud andmetöötlusel.</w:t>
            </w:r>
            <w:r w:rsidR="003858F3">
              <w:t xml:space="preserve"> </w:t>
            </w:r>
            <w:r w:rsidR="003858F3" w:rsidRPr="003858F3">
              <w:t>Samuti tule</w:t>
            </w:r>
            <w:r w:rsidR="003858F3">
              <w:t>b</w:t>
            </w:r>
            <w:r w:rsidR="003858F3" w:rsidRPr="003858F3">
              <w:t xml:space="preserve"> rõhutada, et kohustus loetakse täidetuks selge ja arusaadava standardiseeritud teavitusega negatiivse krediidiotsuse edastamisel.</w:t>
            </w:r>
          </w:p>
        </w:tc>
        <w:tc>
          <w:tcPr>
            <w:tcW w:w="5016" w:type="dxa"/>
          </w:tcPr>
          <w:p w14:paraId="4C016572" w14:textId="77777777" w:rsidR="001C022C" w:rsidRPr="00B72C04" w:rsidRDefault="00B72C04" w:rsidP="00B72C04">
            <w:pPr>
              <w:rPr>
                <w:b/>
                <w:bCs/>
              </w:rPr>
            </w:pPr>
            <w:r w:rsidRPr="00B72C04">
              <w:rPr>
                <w:b/>
                <w:bCs/>
              </w:rPr>
              <w:lastRenderedPageBreak/>
              <w:t>Arvestatud.</w:t>
            </w:r>
          </w:p>
          <w:p w14:paraId="6B5C8E4F" w14:textId="230E607A" w:rsidR="00B72C04" w:rsidRDefault="00B72C04" w:rsidP="00B72C04">
            <w:r>
              <w:lastRenderedPageBreak/>
              <w:t xml:space="preserve">Seletuskirja on vastavalt ettepanekutele täiendatud. </w:t>
            </w:r>
          </w:p>
        </w:tc>
      </w:tr>
      <w:tr w:rsidR="00D22FD2" w14:paraId="34C90AA4" w14:textId="77777777" w:rsidTr="00617FBE">
        <w:tc>
          <w:tcPr>
            <w:tcW w:w="576" w:type="dxa"/>
          </w:tcPr>
          <w:p w14:paraId="34DF72A6" w14:textId="5D5B95D6" w:rsidR="009575BE" w:rsidRDefault="001C022C">
            <w:pPr>
              <w:jc w:val="center"/>
            </w:pPr>
            <w:r>
              <w:lastRenderedPageBreak/>
              <w:t>19</w:t>
            </w:r>
          </w:p>
        </w:tc>
        <w:tc>
          <w:tcPr>
            <w:tcW w:w="5040" w:type="dxa"/>
          </w:tcPr>
          <w:p w14:paraId="7B3E2304" w14:textId="26E2385A" w:rsidR="009575BE" w:rsidRPr="00F15092" w:rsidRDefault="00F15092" w:rsidP="008F6B46">
            <w:r>
              <w:t>VÕS § 404 lg 1</w:t>
            </w:r>
            <w:r w:rsidR="00F5118A">
              <w:t xml:space="preserve"> </w:t>
            </w:r>
            <w:r w:rsidR="004B3E9A">
              <w:t xml:space="preserve">– seletuskirjas tuleb täpsustada, </w:t>
            </w:r>
            <w:r w:rsidR="004B3E9A" w:rsidRPr="004B3E9A">
              <w:t xml:space="preserve">milline on „vabatahtlik, selge, informeeritud ja ühemõtteline nõustumine“ või „selge nõusolekut väljendav tegevus“ direktiivi ja </w:t>
            </w:r>
            <w:r w:rsidR="004B3E9A">
              <w:t xml:space="preserve">eelnõu kohaselt. </w:t>
            </w:r>
          </w:p>
        </w:tc>
        <w:tc>
          <w:tcPr>
            <w:tcW w:w="5016" w:type="dxa"/>
          </w:tcPr>
          <w:p w14:paraId="0E7E4A4A" w14:textId="10431FF9" w:rsidR="009759FC" w:rsidRDefault="561D6B66" w:rsidP="001525CD">
            <w:pPr>
              <w:rPr>
                <w:b/>
                <w:bCs/>
              </w:rPr>
            </w:pPr>
            <w:r w:rsidRPr="700DA59A">
              <w:rPr>
                <w:b/>
                <w:bCs/>
              </w:rPr>
              <w:t>Arvestatud / Selgitatud.</w:t>
            </w:r>
          </w:p>
          <w:p w14:paraId="19D2530E" w14:textId="6A39A640" w:rsidR="0083440F" w:rsidRDefault="561D6B66" w:rsidP="001525CD">
            <w:r>
              <w:t xml:space="preserve">Eelnõu seletuskirja on </w:t>
            </w:r>
            <w:r w:rsidR="28BA3DDE">
              <w:t xml:space="preserve">täiendatud lisaselgitustega kõnealuse lõike teise lause eesmärkide ja kohaldamisala kohta. Regulatsiooni mõte on </w:t>
            </w:r>
            <w:r w:rsidR="38777C17">
              <w:t xml:space="preserve">tagada, et juhul, kui lepingu sõlmimiseks kasutatakse märgistatavaid lahtreid, siis peab tarbijal olema võimalik enda tahet väljendada viisil, mis vastaks teises lauses nimetatud nõuetele. </w:t>
            </w:r>
            <w:r w:rsidR="5F56D2EE">
              <w:t xml:space="preserve"> See tähendab näiteks mh seda, et nõustumust väljendava tingimuse enda sõnastus on selge ja ühemõtteline. Teise lause </w:t>
            </w:r>
            <w:r w:rsidR="38777C17">
              <w:t>mõte ei ole</w:t>
            </w:r>
            <w:r w:rsidR="6B63E678">
              <w:t xml:space="preserve"> aga </w:t>
            </w:r>
            <w:r w:rsidR="38777C17">
              <w:t xml:space="preserve"> luua uut kohustust iga kord lepingu sõlmimisel ilma märgist</w:t>
            </w:r>
            <w:r w:rsidR="2E7C1B93">
              <w:t xml:space="preserve">atavate lahtriteta </w:t>
            </w:r>
            <w:r w:rsidR="240F2579">
              <w:t>veel erald</w:t>
            </w:r>
            <w:r w:rsidR="0A357452">
              <w:t>i</w:t>
            </w:r>
            <w:r w:rsidR="7962D86E">
              <w:t>seisva</w:t>
            </w:r>
            <w:r w:rsidR="63F8635C">
              <w:t xml:space="preserve"> </w:t>
            </w:r>
            <w:r w:rsidR="14282E89">
              <w:t>kinnitus</w:t>
            </w:r>
            <w:r w:rsidR="086352E9">
              <w:t>e</w:t>
            </w:r>
            <w:r w:rsidR="14282E89">
              <w:t xml:space="preserve"> and</w:t>
            </w:r>
            <w:r w:rsidR="227947B0">
              <w:t xml:space="preserve">miseks vms. </w:t>
            </w:r>
            <w:r w:rsidR="14282E89">
              <w:t xml:space="preserve"> </w:t>
            </w:r>
          </w:p>
        </w:tc>
      </w:tr>
      <w:tr w:rsidR="00D22FD2" w14:paraId="45E534E9" w14:textId="77777777" w:rsidTr="00617FBE">
        <w:tc>
          <w:tcPr>
            <w:tcW w:w="576" w:type="dxa"/>
          </w:tcPr>
          <w:p w14:paraId="1FAA0527" w14:textId="30937C7B" w:rsidR="009575BE" w:rsidRDefault="009759FC">
            <w:pPr>
              <w:jc w:val="center"/>
            </w:pPr>
            <w:r>
              <w:t>20</w:t>
            </w:r>
          </w:p>
        </w:tc>
        <w:tc>
          <w:tcPr>
            <w:tcW w:w="5040" w:type="dxa"/>
          </w:tcPr>
          <w:p w14:paraId="58947F42" w14:textId="0BB92584" w:rsidR="009575BE" w:rsidRDefault="004B3E9A" w:rsidP="008F6B46">
            <w:r>
              <w:t xml:space="preserve">VÕS § 404 lg </w:t>
            </w:r>
            <w:r w:rsidR="0058564A">
              <w:t xml:space="preserve">2 p 15 – kas sättes nimetatud kohustus on täidetud, kui krediidilepingus viidatakse (näiteks) Finantsinspektsiooni </w:t>
            </w:r>
            <w:r w:rsidR="009A1AEA">
              <w:t xml:space="preserve">hallatavale lehele minuraha.ee? </w:t>
            </w:r>
          </w:p>
        </w:tc>
        <w:tc>
          <w:tcPr>
            <w:tcW w:w="5016" w:type="dxa"/>
          </w:tcPr>
          <w:p w14:paraId="4466BFC3" w14:textId="594F8CF0" w:rsidR="009575BE" w:rsidRDefault="7E23247D" w:rsidP="00F75FBA">
            <w:pPr>
              <w:rPr>
                <w:b/>
                <w:bCs/>
              </w:rPr>
            </w:pPr>
            <w:r w:rsidRPr="700DA59A">
              <w:rPr>
                <w:b/>
                <w:bCs/>
              </w:rPr>
              <w:t>Selgitatud</w:t>
            </w:r>
          </w:p>
          <w:p w14:paraId="18E862CE" w14:textId="0F057196" w:rsidR="009575BE" w:rsidRDefault="7E23247D" w:rsidP="00F75FBA">
            <w:r>
              <w:t xml:space="preserve">Jah, selline teavitus on seaduse mõttele vastav. </w:t>
            </w:r>
          </w:p>
          <w:p w14:paraId="53E2FBDD" w14:textId="0BF90EAA" w:rsidR="009575BE" w:rsidRDefault="2CA866EF">
            <w:pPr>
              <w:jc w:val="center"/>
            </w:pPr>
            <w:r>
              <w:t>.</w:t>
            </w:r>
          </w:p>
        </w:tc>
      </w:tr>
      <w:tr w:rsidR="00D22FD2" w14:paraId="1AC1EBB8" w14:textId="77777777" w:rsidTr="00617FBE">
        <w:tc>
          <w:tcPr>
            <w:tcW w:w="576" w:type="dxa"/>
          </w:tcPr>
          <w:p w14:paraId="052BB081" w14:textId="7DFA8892" w:rsidR="009575BE" w:rsidRDefault="003A44FF">
            <w:pPr>
              <w:jc w:val="center"/>
            </w:pPr>
            <w:r>
              <w:t>21</w:t>
            </w:r>
          </w:p>
        </w:tc>
        <w:tc>
          <w:tcPr>
            <w:tcW w:w="5040" w:type="dxa"/>
          </w:tcPr>
          <w:p w14:paraId="359E9F87" w14:textId="77777777" w:rsidR="009575BE" w:rsidRDefault="00012E99" w:rsidP="008F6B46">
            <w:r>
              <w:t>VÕS § 404</w:t>
            </w:r>
            <w:r>
              <w:rPr>
                <w:vertAlign w:val="superscript"/>
              </w:rPr>
              <w:t>2</w:t>
            </w:r>
            <w:r w:rsidR="00CF42DA">
              <w:t xml:space="preserve"> – seletuskirjas tuleb täpsustada, kuidas jõuti järelduseni, et säte kohaldub kõikide lepingu muudatuste korral, st sätted märgitud teave tule</w:t>
            </w:r>
            <w:r w:rsidR="001D5B52">
              <w:t xml:space="preserve">b esitada nii juhul, kui </w:t>
            </w:r>
            <w:r w:rsidR="001D5B52" w:rsidRPr="001D5B52">
              <w:t>krediidiandjal on õigus lepingut ühepoolselt muuta, kui ka juhul, kui pooled on muudatuse individuaalselt läbi rääkinud. Lisaks kohaldub see ka juhul, kui lepingu muutmist soovib tarbija.</w:t>
            </w:r>
          </w:p>
          <w:p w14:paraId="27DB8223" w14:textId="77777777" w:rsidR="007D48C3" w:rsidRDefault="007D48C3" w:rsidP="008F6B46">
            <w:r w:rsidRPr="007D48C3">
              <w:t>Sättes on kirjas „Enne tarbijakrediidilepingu tingimuste muutmist…“, mis justkui viitab, et teavitada tuleb ette, mis oleks loogiline ühepoolsete muudatuste korral. Samas on seletuskirjas</w:t>
            </w:r>
            <w:r>
              <w:t xml:space="preserve"> </w:t>
            </w:r>
            <w:r w:rsidRPr="007D48C3">
              <w:t>selgitus „…seega võib see olla osaks näiteks lepingu muudatuste kokkuleppest.“, mis tähendab võimalust kajastada see teave lepingu muutmise lisakokkuleppes</w:t>
            </w:r>
            <w:r>
              <w:t xml:space="preserve">. </w:t>
            </w:r>
            <w:r w:rsidR="00E415D2">
              <w:t>Sättes kajastub vastuolu.</w:t>
            </w:r>
          </w:p>
          <w:p w14:paraId="781F00E1" w14:textId="55070BEE" w:rsidR="00E415D2" w:rsidRPr="00012E99" w:rsidRDefault="00E415D2" w:rsidP="008F6B46">
            <w:r w:rsidRPr="00E415D2">
              <w:t>Kas „kavandatava muudatuse selge kirjeldus“ peab sisaldama ka teavet, milline on muudatuse tagajärjel krediidilepinguga kaasnev (uus) krediidi kulukuse määr, eriti olukorras, kui muudatustega kaasneb kogukulu muutus?</w:t>
            </w:r>
          </w:p>
        </w:tc>
        <w:tc>
          <w:tcPr>
            <w:tcW w:w="5016" w:type="dxa"/>
          </w:tcPr>
          <w:p w14:paraId="6D45A0D5" w14:textId="3F252599" w:rsidR="009575BE" w:rsidRDefault="36363274" w:rsidP="61D15B5A">
            <w:pPr>
              <w:rPr>
                <w:b/>
                <w:bCs/>
              </w:rPr>
            </w:pPr>
            <w:r w:rsidRPr="61D15B5A">
              <w:rPr>
                <w:b/>
                <w:bCs/>
              </w:rPr>
              <w:t>Arvestatud / Selgitatud.</w:t>
            </w:r>
          </w:p>
          <w:p w14:paraId="03BF4CA2" w14:textId="3D5676E3" w:rsidR="009575BE" w:rsidRDefault="36363274" w:rsidP="61D15B5A">
            <w:r>
              <w:t xml:space="preserve">Eelnõu seletuskirja on </w:t>
            </w:r>
            <w:r w:rsidR="526246C5">
              <w:t>korrigeeritud</w:t>
            </w:r>
            <w:r w:rsidR="5FCF4B98">
              <w:t>, viidatud vastuoluline tekstiosa on seletuskirjast eemaldatud</w:t>
            </w:r>
            <w:r w:rsidR="0C9FD5F6">
              <w:t>.</w:t>
            </w:r>
            <w:r w:rsidR="4B1A4E9D">
              <w:t xml:space="preserve"> </w:t>
            </w:r>
            <w:r w:rsidR="439DB5DC">
              <w:t xml:space="preserve"> </w:t>
            </w:r>
          </w:p>
          <w:p w14:paraId="13D336E3" w14:textId="6C140515" w:rsidR="61D15B5A" w:rsidRDefault="61D15B5A" w:rsidP="61D15B5A"/>
          <w:p w14:paraId="5F6994F6" w14:textId="23A4F575" w:rsidR="00FA6798" w:rsidRDefault="557E122F" w:rsidP="61D15B5A">
            <w:r>
              <w:t>Direktiivi artiklis 22 ega põhjenduspunktis 60 ei anta täpsemaid juhiseid selle kohta, mida pe</w:t>
            </w:r>
            <w:r w:rsidR="54094BF0">
              <w:t xml:space="preserve">ab täpselt kavandatava muudatuse täpse kirjelduse all välja tooma. </w:t>
            </w:r>
            <w:r w:rsidR="4F9E1526">
              <w:t>Oluline on lähtuda regulatsiooni eesmärgist ja tagada, et teavituse tulemusel tekiks tarbijal muudatuse tegelikust sisust selge ettekujutus. K</w:t>
            </w:r>
            <w:r w:rsidR="00FA6798">
              <w:t xml:space="preserve">ui </w:t>
            </w:r>
            <w:r w:rsidR="1216800F">
              <w:t xml:space="preserve">muudatus on selline, et sellega kaasneb ka krediidi </w:t>
            </w:r>
            <w:r w:rsidR="00FA6798">
              <w:t>kogukulu muutu</w:t>
            </w:r>
            <w:r w:rsidR="7285CDE6">
              <w:t>mine</w:t>
            </w:r>
            <w:r w:rsidR="00FA6798">
              <w:t xml:space="preserve">, siis </w:t>
            </w:r>
            <w:r w:rsidR="6A544833">
              <w:t>võib eeldada, et  tarbijal ka selle vastu põhjendatud huvi, mistõttu tuleks teavituses välja tuua ka</w:t>
            </w:r>
            <w:r w:rsidR="00FA6798">
              <w:t xml:space="preserve"> uu</w:t>
            </w:r>
            <w:r w:rsidR="1DA9DDA1">
              <w:t>s krediidi</w:t>
            </w:r>
            <w:r w:rsidR="00FA6798">
              <w:t xml:space="preserve"> kulukuse määr. </w:t>
            </w:r>
          </w:p>
          <w:p w14:paraId="5871A488" w14:textId="7A6B0B86" w:rsidR="00862E67" w:rsidRDefault="00862E67">
            <w:pPr>
              <w:jc w:val="center"/>
            </w:pPr>
          </w:p>
        </w:tc>
      </w:tr>
      <w:tr w:rsidR="00D22FD2" w14:paraId="39108A5A" w14:textId="77777777" w:rsidTr="00617FBE">
        <w:tc>
          <w:tcPr>
            <w:tcW w:w="576" w:type="dxa"/>
          </w:tcPr>
          <w:p w14:paraId="1C7CC46B" w14:textId="79E33CAF" w:rsidR="009575BE" w:rsidRDefault="003A44FF">
            <w:pPr>
              <w:jc w:val="center"/>
            </w:pPr>
            <w:r>
              <w:t>22</w:t>
            </w:r>
          </w:p>
        </w:tc>
        <w:tc>
          <w:tcPr>
            <w:tcW w:w="5040" w:type="dxa"/>
          </w:tcPr>
          <w:p w14:paraId="7987F6CA" w14:textId="1B54C7BB" w:rsidR="009575BE" w:rsidRDefault="00E415D2" w:rsidP="008F6B46">
            <w:r>
              <w:t>VÕS §</w:t>
            </w:r>
            <w:r w:rsidR="00D422A7">
              <w:t xml:space="preserve"> 407 lg 4 - </w:t>
            </w:r>
            <w:r w:rsidR="00C6585C" w:rsidRPr="00C6585C">
              <w:t xml:space="preserve">kui arvelduskrediidileping lubab ülempiiri teatud tingimustel ületada, siis kas sellest </w:t>
            </w:r>
            <w:r w:rsidR="00C6585C" w:rsidRPr="00C6585C">
              <w:lastRenderedPageBreak/>
              <w:t>peaks näiteks igakuiselt justkui meeldetuletuse sellise ületamise võimaluse kohta saatma või siiski see regulaarsus puudutab juba ülempiiri ületamist (igakordselt)?</w:t>
            </w:r>
          </w:p>
        </w:tc>
        <w:tc>
          <w:tcPr>
            <w:tcW w:w="5016" w:type="dxa"/>
          </w:tcPr>
          <w:p w14:paraId="6189756E" w14:textId="115FA591" w:rsidR="7D452A38" w:rsidRDefault="741A0842" w:rsidP="6375A61F">
            <w:r w:rsidRPr="0FC256F5">
              <w:rPr>
                <w:b/>
              </w:rPr>
              <w:lastRenderedPageBreak/>
              <w:t>Selgitatud</w:t>
            </w:r>
            <w:r>
              <w:t>.</w:t>
            </w:r>
          </w:p>
          <w:p w14:paraId="70138CE1" w14:textId="2E4599A4" w:rsidR="00BB6C6C" w:rsidRDefault="741A0842" w:rsidP="6375A61F">
            <w:r w:rsidRPr="1D277B57">
              <w:rPr>
                <w:rFonts w:eastAsia="Times New Roman"/>
                <w:color w:val="000000" w:themeColor="text1"/>
              </w:rPr>
              <w:lastRenderedPageBreak/>
              <w:t>Muudatused</w:t>
            </w:r>
            <w:r w:rsidRPr="6ACED988">
              <w:rPr>
                <w:rFonts w:eastAsia="Times New Roman"/>
                <w:color w:val="000000" w:themeColor="text1"/>
              </w:rPr>
              <w:t xml:space="preserve"> tulenevad uue direktiivi artikli 25 lõikest 1</w:t>
            </w:r>
            <w:r w:rsidR="64C356E9" w:rsidRPr="19EC9ADF">
              <w:rPr>
                <w:rFonts w:eastAsia="Times New Roman"/>
                <w:color w:val="000000" w:themeColor="text1"/>
              </w:rPr>
              <w:t>,</w:t>
            </w:r>
            <w:r w:rsidR="64C356E9" w:rsidRPr="7FDFED71">
              <w:rPr>
                <w:rFonts w:eastAsia="Times New Roman"/>
                <w:color w:val="000000" w:themeColor="text1"/>
              </w:rPr>
              <w:t xml:space="preserve"> </w:t>
            </w:r>
            <w:r w:rsidR="64C356E9" w:rsidRPr="57DE328C">
              <w:rPr>
                <w:rFonts w:eastAsia="Times New Roman"/>
                <w:color w:val="000000" w:themeColor="text1"/>
              </w:rPr>
              <w:t>millest</w:t>
            </w:r>
            <w:r w:rsidR="00552E69" w:rsidRPr="57DE328C">
              <w:rPr>
                <w:rFonts w:eastAsia="Times New Roman"/>
                <w:color w:val="000000" w:themeColor="text1"/>
              </w:rPr>
              <w:t xml:space="preserve"> ei </w:t>
            </w:r>
            <w:r w:rsidR="64C356E9" w:rsidRPr="57DE328C">
              <w:rPr>
                <w:rFonts w:eastAsia="Times New Roman"/>
                <w:color w:val="000000" w:themeColor="text1"/>
              </w:rPr>
              <w:t xml:space="preserve">ole </w:t>
            </w:r>
            <w:r w:rsidR="64C356E9" w:rsidRPr="0FC256F5">
              <w:rPr>
                <w:rFonts w:eastAsia="Times New Roman"/>
                <w:color w:val="000000" w:themeColor="text1"/>
              </w:rPr>
              <w:t>tuletatav</w:t>
            </w:r>
            <w:r w:rsidR="1D167F50" w:rsidRPr="0FC256F5">
              <w:rPr>
                <w:rFonts w:eastAsia="Times New Roman"/>
                <w:color w:val="000000" w:themeColor="text1"/>
              </w:rPr>
              <w:t>,</w:t>
            </w:r>
            <w:r w:rsidR="00552E69" w:rsidRPr="57DE328C">
              <w:rPr>
                <w:rFonts w:eastAsia="Times New Roman"/>
                <w:color w:val="000000" w:themeColor="text1"/>
              </w:rPr>
              <w:t xml:space="preserve"> et </w:t>
            </w:r>
            <w:r w:rsidR="00552E69">
              <w:t>teavitus tule</w:t>
            </w:r>
            <w:r w:rsidR="372DF745">
              <w:t>ks</w:t>
            </w:r>
            <w:r w:rsidR="00552E69">
              <w:t xml:space="preserve"> saata juhul kui ülempiiri on juba ületatud.</w:t>
            </w:r>
            <w:r w:rsidR="3473E0B0">
              <w:t xml:space="preserve"> Nii direktiivi kui ka seda </w:t>
            </w:r>
            <w:proofErr w:type="spellStart"/>
            <w:r w:rsidR="3473E0B0">
              <w:t>ülevõtva</w:t>
            </w:r>
            <w:proofErr w:type="spellEnd"/>
            <w:r w:rsidR="3473E0B0">
              <w:t xml:space="preserve"> VÕS § 407 lõike 4 regulatsioon on üldisem. </w:t>
            </w:r>
            <w:r w:rsidR="6BA06BFC">
              <w:t>Seega vähemasti tuleks selline teavitus teha lepingu sõlmimisel ning seejärel siis, kui ülempiiri on juba ületatud.</w:t>
            </w:r>
          </w:p>
        </w:tc>
      </w:tr>
      <w:tr w:rsidR="00D22FD2" w14:paraId="23E3AE6D" w14:textId="77777777" w:rsidTr="00617FBE">
        <w:tc>
          <w:tcPr>
            <w:tcW w:w="576" w:type="dxa"/>
          </w:tcPr>
          <w:p w14:paraId="4A9866DA" w14:textId="054318DE" w:rsidR="009575BE" w:rsidRDefault="003A44FF">
            <w:pPr>
              <w:jc w:val="center"/>
            </w:pPr>
            <w:r>
              <w:lastRenderedPageBreak/>
              <w:t>23</w:t>
            </w:r>
          </w:p>
        </w:tc>
        <w:tc>
          <w:tcPr>
            <w:tcW w:w="5040" w:type="dxa"/>
          </w:tcPr>
          <w:p w14:paraId="1AEB992E" w14:textId="007AE8F3" w:rsidR="009575BE" w:rsidRDefault="004E3E0C" w:rsidP="008F6B46">
            <w:r>
              <w:t>VÕS § 409 lg 3</w:t>
            </w:r>
            <w:r w:rsidR="00871EA8">
              <w:rPr>
                <w:vertAlign w:val="superscript"/>
              </w:rPr>
              <w:t>1</w:t>
            </w:r>
            <w:r w:rsidR="0078036B">
              <w:t xml:space="preserve"> - </w:t>
            </w:r>
            <w:r w:rsidR="0078036B" w:rsidRPr="0078036B">
              <w:t xml:space="preserve">kui tarbija 30 päeva jooksul väljamakstud krediiti krediidiandjale ei tagasta ega maksa arvestatud intressi, siis </w:t>
            </w:r>
            <w:r w:rsidR="0078036B">
              <w:t xml:space="preserve">kas tarbijal </w:t>
            </w:r>
            <w:r w:rsidR="0078036B" w:rsidRPr="0078036B">
              <w:t>tekib sissenõutavaks muutunud võlgnevus ja krediidiandja saab nõuda vaid viivitusintressi? Kas selle võlgnevuse osas tuleb tarbijale pakkuda § 416</w:t>
            </w:r>
            <w:r w:rsidR="0078036B">
              <w:rPr>
                <w:vertAlign w:val="superscript"/>
              </w:rPr>
              <w:t>1</w:t>
            </w:r>
            <w:r w:rsidR="0078036B" w:rsidRPr="0078036B">
              <w:t xml:space="preserve"> kohaselt ümberkujundamist või ei tule seda teha, sest § 416</w:t>
            </w:r>
            <w:r w:rsidR="0078036B">
              <w:rPr>
                <w:vertAlign w:val="superscript"/>
              </w:rPr>
              <w:t>1</w:t>
            </w:r>
            <w:r w:rsidR="0078036B" w:rsidRPr="0078036B">
              <w:t xml:space="preserve"> uus versioon räägib mitte võlast, vaid tarbijakrediidilepingust?</w:t>
            </w:r>
          </w:p>
          <w:p w14:paraId="53AE8FF6" w14:textId="3A7CACF1" w:rsidR="00DA3B8C" w:rsidRPr="004E3E0C" w:rsidRDefault="00DA3B8C" w:rsidP="008F6B46">
            <w:r>
              <w:t>Millised lahendused on mõeldavad juhul, kui tarbija soovib oma taganemisavaldusest loobuda?</w:t>
            </w:r>
          </w:p>
        </w:tc>
        <w:tc>
          <w:tcPr>
            <w:tcW w:w="5016" w:type="dxa"/>
          </w:tcPr>
          <w:p w14:paraId="7DF87442" w14:textId="7C11470A" w:rsidR="00CC50F2" w:rsidRDefault="00382898" w:rsidP="00382898">
            <w:pPr>
              <w:rPr>
                <w:b/>
                <w:bCs/>
              </w:rPr>
            </w:pPr>
            <w:r w:rsidRPr="00FC51AD">
              <w:rPr>
                <w:b/>
                <w:bCs/>
              </w:rPr>
              <w:t xml:space="preserve">Selgitatud. </w:t>
            </w:r>
          </w:p>
          <w:p w14:paraId="5DB2555F" w14:textId="0286112B" w:rsidR="00FC51AD" w:rsidRDefault="00FC51AD" w:rsidP="00382898">
            <w:r>
              <w:t>Kui tarbija on lepingust taganenud</w:t>
            </w:r>
            <w:r w:rsidR="00BE086B">
              <w:t xml:space="preserve"> ja ei ole tagasitäitmise võlasuhtest tulenevaid kohustusi täitnud </w:t>
            </w:r>
            <w:r w:rsidR="00CC3C3B">
              <w:t xml:space="preserve">(ei tasu väljamakstud krediiti ja </w:t>
            </w:r>
            <w:r w:rsidR="00742781">
              <w:t xml:space="preserve">arvestatud intressi), </w:t>
            </w:r>
            <w:r w:rsidR="00C75B6C">
              <w:t>saab krediidiandja n</w:t>
            </w:r>
            <w:r w:rsidR="00934763">
              <w:t>õuda</w:t>
            </w:r>
            <w:r w:rsidR="004C306A">
              <w:t xml:space="preserve"> põhisumma tagastamist ja viivist. </w:t>
            </w:r>
          </w:p>
          <w:p w14:paraId="6A623CA3" w14:textId="6FB80568" w:rsidR="004C306A" w:rsidRDefault="004C306A" w:rsidP="00382898">
            <w:r>
              <w:t xml:space="preserve">Kui tarbija on lepingust taganenud, ei pea tekkinud </w:t>
            </w:r>
            <w:r w:rsidR="00A57663">
              <w:t xml:space="preserve">tagasitäitmise võlasuhtest tekkinud </w:t>
            </w:r>
            <w:r>
              <w:t>võlgnevuse osas pakkuma VÕS §-ist 416</w:t>
            </w:r>
            <w:r>
              <w:rPr>
                <w:vertAlign w:val="superscript"/>
              </w:rPr>
              <w:t>1</w:t>
            </w:r>
            <w:r>
              <w:t xml:space="preserve"> </w:t>
            </w:r>
            <w:r w:rsidR="00271CC2">
              <w:t xml:space="preserve">tulenevaid </w:t>
            </w:r>
            <w:r w:rsidR="00006F18">
              <w:t xml:space="preserve">ümberkujundamise meetmeid. </w:t>
            </w:r>
          </w:p>
          <w:p w14:paraId="6AD5B73E" w14:textId="310755EC" w:rsidR="008A7C8E" w:rsidRDefault="00185AF8" w:rsidP="00C429AB">
            <w:r>
              <w:t xml:space="preserve">Kui tarbija soovib taganemisavaldusest loobuda, </w:t>
            </w:r>
            <w:r w:rsidR="008D5C2F">
              <w:t xml:space="preserve">saab ta antud soovi </w:t>
            </w:r>
            <w:proofErr w:type="spellStart"/>
            <w:r w:rsidR="008D5C2F">
              <w:t>krediidandjale</w:t>
            </w:r>
            <w:proofErr w:type="spellEnd"/>
            <w:r w:rsidR="008D5C2F">
              <w:t xml:space="preserve"> edastada ning pooled saavad kokku leppida, et esialgne tarbijakrediidileping jääb kehtima. </w:t>
            </w:r>
          </w:p>
        </w:tc>
      </w:tr>
      <w:tr w:rsidR="00D22FD2" w14:paraId="08B6AD89" w14:textId="77777777" w:rsidTr="00617FBE">
        <w:tc>
          <w:tcPr>
            <w:tcW w:w="576" w:type="dxa"/>
          </w:tcPr>
          <w:p w14:paraId="70A74A76" w14:textId="62A98E63" w:rsidR="009575BE" w:rsidRDefault="003A44FF">
            <w:pPr>
              <w:jc w:val="center"/>
            </w:pPr>
            <w:r>
              <w:t>24</w:t>
            </w:r>
          </w:p>
        </w:tc>
        <w:tc>
          <w:tcPr>
            <w:tcW w:w="5040" w:type="dxa"/>
          </w:tcPr>
          <w:p w14:paraId="309C27E7" w14:textId="77777777" w:rsidR="009575BE" w:rsidRDefault="008C1914" w:rsidP="008F6B46">
            <w:r>
              <w:t xml:space="preserve">VÕS § 411 - </w:t>
            </w:r>
            <w:r w:rsidR="00092CF9">
              <w:t>K</w:t>
            </w:r>
            <w:r w:rsidR="00092CF9" w:rsidRPr="00092CF9">
              <w:t>as seaduse jõustumiseni tuleb lähtuda seni kehtinud sõnastusest ja eeldatavalt 20. novembrist uuest, täiendatud sõnastusest?</w:t>
            </w:r>
          </w:p>
          <w:p w14:paraId="5CE079EA" w14:textId="0E9318B2" w:rsidR="00092CF9" w:rsidRDefault="00092CF9" w:rsidP="008F6B46">
            <w:r>
              <w:t>M</w:t>
            </w:r>
            <w:r w:rsidRPr="00092CF9">
              <w:t>is metoodika alusel peaks arvutus toimuma (seda nii täieliku kui ka osalise tagastamise korral) ja kas on põhjendatud tõlgendus, mille kohaselt peab krediidiandja tagastama proportsionaalselt ka lepingutasu, mis on nt tasu krediidivõimelisuse hinnangu ja lepingu vormistamise eest?</w:t>
            </w:r>
          </w:p>
        </w:tc>
        <w:tc>
          <w:tcPr>
            <w:tcW w:w="5016" w:type="dxa"/>
          </w:tcPr>
          <w:p w14:paraId="277CBCE6" w14:textId="10CC1EAD" w:rsidR="009575BE" w:rsidRDefault="78FCCF16" w:rsidP="6AA6501E">
            <w:pPr>
              <w:rPr>
                <w:b/>
                <w:bCs/>
              </w:rPr>
            </w:pPr>
            <w:r w:rsidRPr="6AA6501E">
              <w:rPr>
                <w:b/>
                <w:bCs/>
              </w:rPr>
              <w:t>Selgitatud.</w:t>
            </w:r>
          </w:p>
          <w:p w14:paraId="17FCEB9A" w14:textId="0FEFBBF2" w:rsidR="009575BE" w:rsidRDefault="42A9CDE7" w:rsidP="6AA6501E">
            <w:r>
              <w:t>Jah</w:t>
            </w:r>
            <w:r w:rsidR="445D155A">
              <w:t xml:space="preserve">, eelnõuga kavandatud muudatused jõustuvad seaduse jõustumisel ning edaspidi tuleb neist lähtuda. Enne seda toimunud ennetähtaegsetele tagasimaksmistele kohaldub seaduse varasem redaktsioon. </w:t>
            </w:r>
          </w:p>
          <w:p w14:paraId="23493A6D" w14:textId="795048E7" w:rsidR="6AA6501E" w:rsidRDefault="6AA6501E" w:rsidP="6AA6501E"/>
          <w:p w14:paraId="5E68B309" w14:textId="5109CE12" w:rsidR="009575BE" w:rsidRDefault="1126D7A9" w:rsidP="48316CE3">
            <w:r>
              <w:t>Direktiivis ja sellest tulenevalt ka eelnõus ette nähtud regulatsioo</w:t>
            </w:r>
            <w:r w:rsidR="28690404">
              <w:t>n arvesta</w:t>
            </w:r>
            <w:r w:rsidR="5EC70E97">
              <w:t>b</w:t>
            </w:r>
            <w:r w:rsidR="28690404">
              <w:t xml:space="preserve"> ennetähtaegse tagasimakse korral tarbija kanda jäävate kulude puhul Euroopa Kohtu nn </w:t>
            </w:r>
            <w:proofErr w:type="spellStart"/>
            <w:r w:rsidR="28690404">
              <w:t>Lexitori</w:t>
            </w:r>
            <w:proofErr w:type="spellEnd"/>
            <w:r w:rsidR="28690404">
              <w:t xml:space="preserve"> lahendiga </w:t>
            </w:r>
            <w:r w:rsidR="20FEBA18">
              <w:t>(</w:t>
            </w:r>
            <w:r w:rsidR="20FEBA18" w:rsidRPr="48316CE3">
              <w:rPr>
                <w:rFonts w:eastAsia="Times New Roman"/>
                <w:color w:val="000000" w:themeColor="text1"/>
              </w:rPr>
              <w:t>C-383/18)</w:t>
            </w:r>
            <w:r w:rsidR="20FEBA18">
              <w:t xml:space="preserve"> </w:t>
            </w:r>
            <w:r w:rsidR="573B0FCC">
              <w:t xml:space="preserve">kehtiva tarbijakrediidi direktiivi (2008/48/EÜ) kohta. </w:t>
            </w:r>
            <w:r w:rsidR="38100E31">
              <w:t xml:space="preserve">Direktiivi põhjenduspunktis 70 on otsesõnu viidatud kõnealusele lahendile ja selgitatud, et </w:t>
            </w:r>
            <w:proofErr w:type="spellStart"/>
            <w:r w:rsidR="38100E31">
              <w:t>Lexitori</w:t>
            </w:r>
            <w:proofErr w:type="spellEnd"/>
            <w:r w:rsidR="38100E31">
              <w:t xml:space="preserve"> lahendis esitatud tõlgenduse kohaselt hõlmab tarbija õigus krediidi kogukulu tarbijale vähendamisele krediidisumma ennetähtaegse tagasimaksmise korral kõiki tarbijalt nõutud kulusid. </w:t>
            </w:r>
            <w:r w:rsidR="0DC5534F">
              <w:t>Se</w:t>
            </w:r>
            <w:r w:rsidR="1E3BA663">
              <w:t>ega selle</w:t>
            </w:r>
            <w:r w:rsidR="0DC5534F">
              <w:t xml:space="preserve"> lahendi kohaselt </w:t>
            </w:r>
            <w:r w:rsidR="16D4C621">
              <w:t>tuleks</w:t>
            </w:r>
            <w:r w:rsidR="09984D73">
              <w:t xml:space="preserve"> proportsionaalselt vähendada</w:t>
            </w:r>
            <w:r w:rsidR="16D4C621">
              <w:t xml:space="preserve"> ka selliseid tasusid, mis ei sõltu lepingu kestvusest.</w:t>
            </w:r>
          </w:p>
          <w:p w14:paraId="73BD3B06" w14:textId="0E6AE42C" w:rsidR="009575BE" w:rsidRDefault="16D4C621" w:rsidP="48316CE3">
            <w:r>
              <w:t xml:space="preserve"> </w:t>
            </w:r>
          </w:p>
          <w:p w14:paraId="593DA89C" w14:textId="1E9DC030" w:rsidR="009575BE" w:rsidRDefault="1057BBF4" w:rsidP="48316CE3">
            <w:r>
              <w:t>Need selgitused on esitatud ka eelnõu seletuskirjas. Isegi kui teoreetiliselt võib sellise reegli põhjendatuse üle arutleda, siis on tegemist küsimusega, millele on juba andnud hinnangu Euroopa Kohus ja mida on seejärel Euroopa Liidu seadusandja ka uue dir</w:t>
            </w:r>
            <w:r w:rsidR="6D3D1527">
              <w:t xml:space="preserve">ektiivi kehtestamisel </w:t>
            </w:r>
            <w:r w:rsidR="6D3D1527">
              <w:lastRenderedPageBreak/>
              <w:t xml:space="preserve">järginud. Seetõttu tuleb nendest põhimõtetest ka praktikas lähtuda. </w:t>
            </w:r>
          </w:p>
          <w:p w14:paraId="7EB4ED37" w14:textId="4F66B5C4" w:rsidR="48316CE3" w:rsidRDefault="48316CE3" w:rsidP="48316CE3"/>
          <w:p w14:paraId="048E0FDB" w14:textId="608FC519" w:rsidR="384F4ACD" w:rsidRDefault="384F4ACD" w:rsidP="5C9AECE2">
            <w:r>
              <w:t>See põhimõte kehtib tegelikult ka olemasoleva regulatsiooni</w:t>
            </w:r>
            <w:r w:rsidR="2E8F2DBA">
              <w:t xml:space="preserve"> kohta</w:t>
            </w:r>
            <w:r>
              <w:t>, kuivõrd VÕS § 411 tuleb direktiivikonformselt tõlgendada ja see hõlmab ka direktiivi kohta antud Euroopa Kohtu tõlgendusi</w:t>
            </w:r>
            <w:r w:rsidR="4CA50F2F">
              <w:t xml:space="preserve">. </w:t>
            </w:r>
            <w:proofErr w:type="spellStart"/>
            <w:r w:rsidR="4CA50F2F">
              <w:t>Lexitori</w:t>
            </w:r>
            <w:proofErr w:type="spellEnd"/>
            <w:r w:rsidR="4CA50F2F">
              <w:t xml:space="preserve"> lahend tehti praegu kehtiva regulatsiooni kohta. </w:t>
            </w:r>
          </w:p>
          <w:p w14:paraId="65FFEF96" w14:textId="0F92A3DE" w:rsidR="7CD97761" w:rsidRDefault="7CD97761"/>
          <w:p w14:paraId="39CD1B45" w14:textId="2AA71317" w:rsidR="23B1E44C" w:rsidRDefault="23B1E44C">
            <w:r>
              <w:t xml:space="preserve">Direktiiv ei näe siin ette erisusi täieliku ja osalise tagasimakse korral. Tarbijal on õigus </w:t>
            </w:r>
            <w:r w:rsidR="6EE61A87">
              <w:t xml:space="preserve">nii täielikuks kui ka osaliseks </w:t>
            </w:r>
            <w:r>
              <w:t xml:space="preserve">ennetähtaegseks tagasimakseks ning mõlemal juhul tuleb </w:t>
            </w:r>
            <w:r w:rsidR="16028095">
              <w:t xml:space="preserve">krediidi </w:t>
            </w:r>
            <w:r>
              <w:t>kogukulu</w:t>
            </w:r>
            <w:r w:rsidR="4A9936E0">
              <w:t xml:space="preserve"> tarbijale</w:t>
            </w:r>
            <w:r>
              <w:t xml:space="preserve"> proportsionaalselt vähendada</w:t>
            </w:r>
            <w:r w:rsidR="0585C397">
              <w:t>.</w:t>
            </w:r>
            <w:r w:rsidR="709741E2">
              <w:t xml:space="preserve"> </w:t>
            </w:r>
            <w:r w:rsidR="422A2A7D">
              <w:t>Kuid p</w:t>
            </w:r>
            <w:r w:rsidR="709741E2">
              <w:t xml:space="preserve">raktikas on osaliste tagasimaksete puhul krediidiandjal keerulisem kulude vähendamist arvestada, kuna intressi ja muude tasude maksmise kohustus </w:t>
            </w:r>
            <w:r w:rsidR="239400DE">
              <w:t>väheneb üksnes ennetähtaegselt tagasimakstud osa suhtes.</w:t>
            </w:r>
          </w:p>
          <w:p w14:paraId="57B06EB9" w14:textId="2D5E5745" w:rsidR="48316CE3" w:rsidRDefault="48316CE3" w:rsidP="48316CE3"/>
          <w:p w14:paraId="154C6BD7" w14:textId="2CCA789F" w:rsidR="1FC04A33" w:rsidRDefault="1FC04A33">
            <w:r>
              <w:t>Tarbijale langevate kulude ümberarvestamise kohustus lasub krediidiandjal. Tarbijal ei pruugi selleks olla vajalikke oskusi ega teadmisi.</w:t>
            </w:r>
            <w:r w:rsidR="1FD870E3">
              <w:t xml:space="preserve"> Krediidiandja on selleks oluliselt paremas positsioonis. </w:t>
            </w:r>
          </w:p>
          <w:p w14:paraId="2AB1F953" w14:textId="6E22CB50" w:rsidR="00E978BF" w:rsidRDefault="007C57BF" w:rsidP="6AA6501E">
            <w:r>
              <w:t xml:space="preserve"> </w:t>
            </w:r>
          </w:p>
        </w:tc>
      </w:tr>
      <w:tr w:rsidR="00D22FD2" w14:paraId="6ABA6916" w14:textId="77777777" w:rsidTr="00617FBE">
        <w:tc>
          <w:tcPr>
            <w:tcW w:w="576" w:type="dxa"/>
          </w:tcPr>
          <w:p w14:paraId="632C2614" w14:textId="28FC6C8F" w:rsidR="009575BE" w:rsidRDefault="003A44FF">
            <w:pPr>
              <w:jc w:val="center"/>
            </w:pPr>
            <w:r>
              <w:lastRenderedPageBreak/>
              <w:t>25</w:t>
            </w:r>
          </w:p>
        </w:tc>
        <w:tc>
          <w:tcPr>
            <w:tcW w:w="5040" w:type="dxa"/>
          </w:tcPr>
          <w:p w14:paraId="2FBDA7C8" w14:textId="3ECCB58A" w:rsidR="009575BE" w:rsidRDefault="2625A95D" w:rsidP="3902B350">
            <w:r>
              <w:t>VÕS § 416</w:t>
            </w:r>
            <w:r w:rsidRPr="3902B350">
              <w:rPr>
                <w:vertAlign w:val="superscript"/>
              </w:rPr>
              <w:t>1</w:t>
            </w:r>
            <w:r w:rsidRPr="3902B350">
              <w:t xml:space="preserve"> - </w:t>
            </w:r>
            <w:r w:rsidR="26D2804B" w:rsidRPr="3902B350">
              <w:rPr>
                <w:rFonts w:eastAsia="Times New Roman"/>
              </w:rPr>
              <w:t>mõlemad lõikes 1 nimetatud meetmed ehk nii osaline või täielik restruktureerimine kui ka tarbijakrediidilepingu tingimuste kohtuväline muutmine (lg 3 2. lauses kirjeldatud meetmed) on leevendusmeetmed (</w:t>
            </w:r>
            <w:proofErr w:type="spellStart"/>
            <w:r w:rsidR="26D2804B" w:rsidRPr="3902B350">
              <w:rPr>
                <w:rFonts w:eastAsia="Times New Roman"/>
                <w:i/>
                <w:iCs/>
              </w:rPr>
              <w:t>forbearance</w:t>
            </w:r>
            <w:proofErr w:type="spellEnd"/>
            <w:r w:rsidR="26D2804B" w:rsidRPr="3902B350">
              <w:rPr>
                <w:rFonts w:eastAsia="Times New Roman"/>
                <w:i/>
                <w:iCs/>
              </w:rPr>
              <w:t xml:space="preserve"> </w:t>
            </w:r>
            <w:proofErr w:type="spellStart"/>
            <w:r w:rsidR="26D2804B" w:rsidRPr="3902B350">
              <w:rPr>
                <w:rFonts w:eastAsia="Times New Roman"/>
                <w:i/>
                <w:iCs/>
              </w:rPr>
              <w:t>measures</w:t>
            </w:r>
            <w:proofErr w:type="spellEnd"/>
            <w:r w:rsidR="26D2804B" w:rsidRPr="3902B350">
              <w:rPr>
                <w:rFonts w:eastAsia="Times New Roman"/>
                <w:i/>
                <w:iCs/>
              </w:rPr>
              <w:t>)</w:t>
            </w:r>
            <w:r w:rsidR="26D2804B" w:rsidRPr="3902B350">
              <w:rPr>
                <w:rFonts w:eastAsia="Times New Roman"/>
              </w:rPr>
              <w:t xml:space="preserve"> makseraskuste korral. Seda kinnitab ka </w:t>
            </w:r>
            <w:r w:rsidR="00993032">
              <w:rPr>
                <w:rFonts w:eastAsia="Times New Roman"/>
              </w:rPr>
              <w:t>tarbijakrediidi direktiivi</w:t>
            </w:r>
            <w:r w:rsidR="26D2804B" w:rsidRPr="3902B350">
              <w:rPr>
                <w:rFonts w:eastAsia="Times New Roman"/>
              </w:rPr>
              <w:t xml:space="preserve"> artikkel 35 pealkiri (</w:t>
            </w:r>
            <w:r w:rsidR="00993032">
              <w:rPr>
                <w:rFonts w:eastAsia="Times New Roman"/>
              </w:rPr>
              <w:t>v</w:t>
            </w:r>
            <w:r w:rsidR="26D2804B" w:rsidRPr="3902B350">
              <w:rPr>
                <w:rFonts w:eastAsia="Times New Roman"/>
              </w:rPr>
              <w:t>õlgnevused ja makseraskuste tõttu restruktureerimise meetmed), millest tulenevalt võiks järeldada, et mõlemal juhul ei saa nõuda krediidivõimelisuse hindamist, kuna tegemist on makseraskustes oleva tarbijaga.</w:t>
            </w:r>
            <w:r w:rsidR="7C65C0B3" w:rsidRPr="3902B350">
              <w:rPr>
                <w:rFonts w:eastAsia="Times New Roman"/>
              </w:rPr>
              <w:t xml:space="preserve"> Samas direktiivi artikli 35 1. lõike 2. alalõik ütleb, et krediidivõimelisuse hindamata jätmist saab rakendada vaid lõikes 1 kolmanda lõigu punkt b osas. </w:t>
            </w:r>
            <w:r w:rsidR="00993032">
              <w:rPr>
                <w:rFonts w:eastAsia="Times New Roman"/>
              </w:rPr>
              <w:t>M</w:t>
            </w:r>
            <w:r w:rsidR="7C65C0B3" w:rsidRPr="3902B350">
              <w:rPr>
                <w:rFonts w:eastAsia="Times New Roman"/>
              </w:rPr>
              <w:t>is tingimustel peaks krediidiandja olema motiveeritud pakkuma osalist või täielikku refinantseerimist, millega kaasneb krediidivõimelisuse hindamine makseraskustes tarbija korral</w:t>
            </w:r>
            <w:r w:rsidR="00993032">
              <w:rPr>
                <w:rFonts w:eastAsia="Times New Roman"/>
              </w:rPr>
              <w:t>?</w:t>
            </w:r>
          </w:p>
        </w:tc>
        <w:tc>
          <w:tcPr>
            <w:tcW w:w="5016" w:type="dxa"/>
          </w:tcPr>
          <w:p w14:paraId="3C518D43" w14:textId="7BC8FCB8" w:rsidR="00AA2570" w:rsidRPr="00AA2570" w:rsidRDefault="00AA2570" w:rsidP="00AA2570">
            <w:pPr>
              <w:rPr>
                <w:b/>
                <w:bCs/>
              </w:rPr>
            </w:pPr>
            <w:r w:rsidRPr="00AA2570">
              <w:rPr>
                <w:b/>
                <w:bCs/>
              </w:rPr>
              <w:t xml:space="preserve">Selgitatud. </w:t>
            </w:r>
          </w:p>
          <w:p w14:paraId="19DA6752" w14:textId="71766D43" w:rsidR="007C0575" w:rsidRDefault="00AD65AE" w:rsidP="00F45772">
            <w:r>
              <w:t xml:space="preserve">Tarbijakrediidi refinantseerimisel </w:t>
            </w:r>
            <w:r w:rsidR="00A35AEB">
              <w:t xml:space="preserve">krediidivõime hindamise nõue tuleneb direktiivi (EL) 2023/2225 </w:t>
            </w:r>
            <w:r w:rsidR="00174F26">
              <w:t xml:space="preserve">artikli 35 lg 1 teisest lõigust ning see tuleb Eesti õigusesse üle võtta. </w:t>
            </w:r>
            <w:r w:rsidR="00077A5A">
              <w:t>Konkreet</w:t>
            </w:r>
            <w:r w:rsidR="00F45772">
              <w:t>s</w:t>
            </w:r>
            <w:r w:rsidR="00077A5A">
              <w:t>e ümberkujundamise meetme valimisel tuleb arvestada tarbija isiklike asjaoludega</w:t>
            </w:r>
            <w:r w:rsidR="000E620F">
              <w:t xml:space="preserve"> ja pakkuda selliseid meetmeid, mis vastavad tema võimele krediiti tagasi maksta – kui refinantseerimine ei ole tarbijale sobiv meede, peaks see selguma juba esialgse hinnangu (st meetme valiku) käigus. </w:t>
            </w:r>
            <w:r w:rsidR="00F20231">
              <w:t>Kuna refinantseerimine</w:t>
            </w:r>
            <w:r w:rsidR="00F45772">
              <w:t xml:space="preserve"> toob kaasa uue lepingu sõlmimise, tuleb krediidivõimet uuesti kontrollida tagamaks, et tarbija on võimeline krediidi tagasi maksma ka uue lepingu tingimuste järgi. </w:t>
            </w:r>
          </w:p>
        </w:tc>
      </w:tr>
      <w:tr w:rsidR="00D22FD2" w14:paraId="15E00B46" w14:textId="77777777" w:rsidTr="00617FBE">
        <w:tc>
          <w:tcPr>
            <w:tcW w:w="576" w:type="dxa"/>
          </w:tcPr>
          <w:p w14:paraId="0C5E68F5" w14:textId="3F6688C2" w:rsidR="009575BE" w:rsidRDefault="006F7A60">
            <w:pPr>
              <w:jc w:val="center"/>
            </w:pPr>
            <w:r>
              <w:t>26</w:t>
            </w:r>
          </w:p>
        </w:tc>
        <w:tc>
          <w:tcPr>
            <w:tcW w:w="5040" w:type="dxa"/>
          </w:tcPr>
          <w:p w14:paraId="1CED2B10" w14:textId="7268C379" w:rsidR="009575BE" w:rsidRPr="00993032" w:rsidRDefault="006F7A60" w:rsidP="008F6B46">
            <w:r>
              <w:t xml:space="preserve">Ettepanek </w:t>
            </w:r>
            <w:r w:rsidR="00993032">
              <w:t>VÕS § 416</w:t>
            </w:r>
            <w:r w:rsidR="00993032" w:rsidRPr="3902B350">
              <w:rPr>
                <w:vertAlign w:val="superscript"/>
              </w:rPr>
              <w:t>1</w:t>
            </w:r>
            <w:r w:rsidR="00993032">
              <w:t xml:space="preserve"> lg 4 </w:t>
            </w:r>
            <w:r w:rsidR="00B61736">
              <w:t>sõnastada sellis</w:t>
            </w:r>
            <w:r w:rsidR="00070E42">
              <w:t>elt, et n</w:t>
            </w:r>
            <w:r w:rsidR="005537B8">
              <w:t xml:space="preserve">õue näidata </w:t>
            </w:r>
            <w:r w:rsidR="00A262A9">
              <w:t xml:space="preserve">ümberkujutamise kokkuleppes </w:t>
            </w:r>
            <w:r w:rsidR="0047794B" w:rsidRPr="0047794B">
              <w:t xml:space="preserve">ümberkujundatava krediidi põhisumma ning </w:t>
            </w:r>
            <w:r w:rsidR="0047794B" w:rsidRPr="0047794B">
              <w:lastRenderedPageBreak/>
              <w:t>intressi, viivise ja muu krediidi kasutamise tasu suurust</w:t>
            </w:r>
            <w:r w:rsidR="001C1275">
              <w:t xml:space="preserve">, tuleb täita vaid tarbija nõudmisel. </w:t>
            </w:r>
          </w:p>
        </w:tc>
        <w:tc>
          <w:tcPr>
            <w:tcW w:w="5016" w:type="dxa"/>
          </w:tcPr>
          <w:p w14:paraId="35C1599F" w14:textId="387A8BAF" w:rsidR="00F45772" w:rsidRPr="00F45772" w:rsidRDefault="00F45772" w:rsidP="00F45772">
            <w:pPr>
              <w:rPr>
                <w:b/>
                <w:bCs/>
              </w:rPr>
            </w:pPr>
            <w:r w:rsidRPr="00F45772">
              <w:rPr>
                <w:b/>
                <w:bCs/>
              </w:rPr>
              <w:lastRenderedPageBreak/>
              <w:t xml:space="preserve">Arvestatud. </w:t>
            </w:r>
          </w:p>
          <w:p w14:paraId="5199D728" w14:textId="0504B4A1" w:rsidR="007C0575" w:rsidRDefault="00F45772" w:rsidP="00ED3D40">
            <w:r>
              <w:t>VÕS § 416</w:t>
            </w:r>
            <w:r w:rsidRPr="3902B350">
              <w:rPr>
                <w:vertAlign w:val="superscript"/>
              </w:rPr>
              <w:t>1</w:t>
            </w:r>
            <w:r>
              <w:t xml:space="preserve"> lg 4 sõnastust on muudetud selliselt, et </w:t>
            </w:r>
            <w:r w:rsidR="00ED3D40">
              <w:t xml:space="preserve">tarbijakrediidilepingu ümberkujundamise </w:t>
            </w:r>
            <w:r w:rsidR="00ED3D40">
              <w:lastRenderedPageBreak/>
              <w:t xml:space="preserve">kokkuleppes tuleb märkida </w:t>
            </w:r>
            <w:r w:rsidR="00ED3D40" w:rsidRPr="00A0406A">
              <w:rPr>
                <w:rFonts w:eastAsia="Times New Roman"/>
              </w:rPr>
              <w:t>ümberkujundatava krediidi põhisumma ning intressi, viivise ja muu krediidi kasutamise tasu suurus</w:t>
            </w:r>
            <w:r w:rsidR="00ED3D40">
              <w:rPr>
                <w:rFonts w:eastAsia="Times New Roman"/>
              </w:rPr>
              <w:t xml:space="preserve"> vaid tarbija nõudmisel. </w:t>
            </w:r>
          </w:p>
        </w:tc>
      </w:tr>
      <w:tr w:rsidR="002A6C9D" w14:paraId="0D60B6D6" w14:textId="77777777" w:rsidTr="00617FBE">
        <w:tc>
          <w:tcPr>
            <w:tcW w:w="10632" w:type="dxa"/>
            <w:gridSpan w:val="3"/>
          </w:tcPr>
          <w:p w14:paraId="0F676A2B" w14:textId="61685DF0" w:rsidR="00E51225" w:rsidRDefault="004022D9" w:rsidP="00E51225">
            <w:r>
              <w:lastRenderedPageBreak/>
              <w:t xml:space="preserve">Krediidiandjate ja </w:t>
            </w:r>
            <w:r w:rsidR="00DD24E1">
              <w:t>-</w:t>
            </w:r>
            <w:r>
              <w:t>vahendajate seadus</w:t>
            </w:r>
          </w:p>
        </w:tc>
      </w:tr>
      <w:tr w:rsidR="00D22FD2" w14:paraId="5CE196F7" w14:textId="77777777" w:rsidTr="00617FBE">
        <w:tc>
          <w:tcPr>
            <w:tcW w:w="576" w:type="dxa"/>
          </w:tcPr>
          <w:p w14:paraId="4F1D4BEE" w14:textId="68034B48" w:rsidR="00683561" w:rsidRDefault="006F7A60" w:rsidP="00683561">
            <w:pPr>
              <w:jc w:val="center"/>
            </w:pPr>
            <w:r>
              <w:t>27</w:t>
            </w:r>
          </w:p>
        </w:tc>
        <w:tc>
          <w:tcPr>
            <w:tcW w:w="5040" w:type="dxa"/>
          </w:tcPr>
          <w:p w14:paraId="3C8758F9" w14:textId="08D945B0" w:rsidR="00683561" w:rsidRPr="000123C8" w:rsidRDefault="000123C8" w:rsidP="001B0D8A">
            <w:pPr>
              <w:rPr>
                <w:bCs/>
                <w:lang w:eastAsia="et-EE"/>
              </w:rPr>
            </w:pPr>
            <w:r>
              <w:rPr>
                <w:bCs/>
                <w:lang w:eastAsia="et-EE"/>
              </w:rPr>
              <w:t xml:space="preserve">KAVS </w:t>
            </w:r>
            <w:r w:rsidR="00683561" w:rsidRPr="000123C8">
              <w:rPr>
                <w:bCs/>
                <w:lang w:eastAsia="et-EE"/>
              </w:rPr>
              <w:t>§ 44 lõike 3 punkt 12</w:t>
            </w:r>
            <w:r w:rsidR="00683561" w:rsidRPr="000123C8">
              <w:rPr>
                <w:bCs/>
                <w:vertAlign w:val="superscript"/>
                <w:lang w:eastAsia="et-EE"/>
              </w:rPr>
              <w:t>1</w:t>
            </w:r>
            <w:r w:rsidR="00683561" w:rsidRPr="000123C8">
              <w:rPr>
                <w:bCs/>
                <w:lang w:eastAsia="et-EE"/>
              </w:rPr>
              <w:t xml:space="preserve"> </w:t>
            </w:r>
            <w:r>
              <w:rPr>
                <w:bCs/>
                <w:lang w:eastAsia="et-EE"/>
              </w:rPr>
              <w:t xml:space="preserve"> - s</w:t>
            </w:r>
            <w:r w:rsidR="00683561" w:rsidRPr="00C7376A">
              <w:rPr>
                <w:lang w:eastAsia="et-EE"/>
              </w:rPr>
              <w:t>eletuskirj</w:t>
            </w:r>
            <w:r>
              <w:rPr>
                <w:lang w:eastAsia="et-EE"/>
              </w:rPr>
              <w:t>a</w:t>
            </w:r>
            <w:r w:rsidR="00683561" w:rsidRPr="00C7376A">
              <w:rPr>
                <w:lang w:eastAsia="et-EE"/>
              </w:rPr>
              <w:t xml:space="preserve"> kohaselt</w:t>
            </w:r>
            <w:r>
              <w:rPr>
                <w:lang w:eastAsia="et-EE"/>
              </w:rPr>
              <w:t xml:space="preserve"> </w:t>
            </w:r>
            <w:r w:rsidR="00683561" w:rsidRPr="00C7376A">
              <w:rPr>
                <w:lang w:eastAsia="et-EE"/>
              </w:rPr>
              <w:t xml:space="preserve">peavad krediidiandjad kehtestama menetlused ja põhimõtted </w:t>
            </w:r>
            <w:r w:rsidR="001B0D8A">
              <w:rPr>
                <w:lang w:eastAsia="et-EE"/>
              </w:rPr>
              <w:t>makseraskustes</w:t>
            </w:r>
            <w:r w:rsidR="00683561" w:rsidRPr="00C7376A">
              <w:rPr>
                <w:lang w:eastAsia="et-EE"/>
              </w:rPr>
              <w:t xml:space="preserve"> tarbijate tuvastamiseks, et nad </w:t>
            </w:r>
            <w:r w:rsidR="00683561" w:rsidRPr="001B0D8A">
              <w:rPr>
                <w:u w:color="000000"/>
                <w:lang w:eastAsia="et-EE"/>
              </w:rPr>
              <w:t>saaksid tulemuslikult</w:t>
            </w:r>
            <w:r w:rsidR="00683561" w:rsidRPr="00C7376A">
              <w:rPr>
                <w:lang w:eastAsia="et-EE"/>
              </w:rPr>
              <w:t xml:space="preserve"> soovitada neile kergesti kättesaadavat </w:t>
            </w:r>
            <w:proofErr w:type="spellStart"/>
            <w:r w:rsidR="00683561" w:rsidRPr="00C7376A">
              <w:rPr>
                <w:lang w:eastAsia="et-EE"/>
              </w:rPr>
              <w:t>võlanõustamisteenust</w:t>
            </w:r>
            <w:proofErr w:type="spellEnd"/>
            <w:r w:rsidR="00683561" w:rsidRPr="00C7376A">
              <w:rPr>
                <w:lang w:eastAsia="et-EE"/>
              </w:rPr>
              <w:t xml:space="preserve">.“ Direktiivi põhjenduspunkt 81 viitab samuti tulemuslikkusele. Palume täiendada seletuskirja ja avada ootused krediidiandjatele. Krediidiandja ei saa kontrollida, kas võlgnik on vastava osutatud </w:t>
            </w:r>
            <w:proofErr w:type="spellStart"/>
            <w:r w:rsidR="00683561" w:rsidRPr="00C7376A">
              <w:rPr>
                <w:lang w:eastAsia="et-EE"/>
              </w:rPr>
              <w:t>võlanõustamisteenuse</w:t>
            </w:r>
            <w:proofErr w:type="spellEnd"/>
            <w:r w:rsidR="00683561" w:rsidRPr="00C7376A">
              <w:rPr>
                <w:lang w:eastAsia="et-EE"/>
              </w:rPr>
              <w:t xml:space="preserve"> pakkujaga ühendust võtnud. Selline nõue ei ole proportsionaalne. Krediidiandjalt oodatav pingutus saaks olla vaid see, et krediidiandja a) tuvastab raskustes krediidisaaja ning b) edastab talle </w:t>
            </w:r>
            <w:proofErr w:type="spellStart"/>
            <w:r w:rsidR="00683561" w:rsidRPr="00C7376A">
              <w:rPr>
                <w:lang w:eastAsia="et-EE"/>
              </w:rPr>
              <w:t>võlanõustamisteenuse</w:t>
            </w:r>
            <w:proofErr w:type="spellEnd"/>
            <w:r w:rsidR="00683561" w:rsidRPr="00C7376A">
              <w:rPr>
                <w:lang w:eastAsia="et-EE"/>
              </w:rPr>
              <w:t xml:space="preserve"> osutajate kontaktid.  </w:t>
            </w:r>
          </w:p>
          <w:p w14:paraId="2F6D2E10" w14:textId="77777777" w:rsidR="00683561" w:rsidRPr="00C7376A" w:rsidRDefault="00683561" w:rsidP="001B0D8A">
            <w:pPr>
              <w:rPr>
                <w:lang w:eastAsia="et-EE"/>
              </w:rPr>
            </w:pPr>
            <w:r w:rsidRPr="00C7376A">
              <w:rPr>
                <w:lang w:eastAsia="et-EE"/>
              </w:rPr>
              <w:t xml:space="preserve"> </w:t>
            </w:r>
          </w:p>
          <w:p w14:paraId="31F6B896" w14:textId="6953E410" w:rsidR="00683561" w:rsidRPr="00C26D81" w:rsidRDefault="00683561" w:rsidP="001B0D8A">
            <w:pPr>
              <w:rPr>
                <w:lang w:eastAsia="et-EE"/>
              </w:rPr>
            </w:pPr>
            <w:r w:rsidRPr="001B0D8A">
              <w:rPr>
                <w:lang w:eastAsia="et-EE"/>
              </w:rPr>
              <w:t>Kuna punkt on lisatud tarbija kaebuste lahendamise korra alapunktina, siis kas mõistame õigesti, et sõltumatut võlanõustamiseteenust tuleb tarbijale pakkuda juhtudel, kui tarbija on esitanud krediidiandjale kaebuse tema krediidilepingust tuleneva võlgnevuse menetlemise osas?</w:t>
            </w:r>
            <w:r w:rsidRPr="00C7376A">
              <w:rPr>
                <w:lang w:eastAsia="et-EE"/>
              </w:rPr>
              <w:t xml:space="preserve">  </w:t>
            </w:r>
          </w:p>
        </w:tc>
        <w:tc>
          <w:tcPr>
            <w:tcW w:w="5016" w:type="dxa"/>
          </w:tcPr>
          <w:p w14:paraId="58B98761" w14:textId="0633E623" w:rsidR="00683561" w:rsidRDefault="001B0D8A" w:rsidP="00683561">
            <w:pPr>
              <w:rPr>
                <w:b/>
                <w:bCs/>
              </w:rPr>
            </w:pPr>
            <w:r w:rsidRPr="001B0D8A">
              <w:rPr>
                <w:b/>
                <w:bCs/>
              </w:rPr>
              <w:t>Arvestatud / Selgitatud.</w:t>
            </w:r>
          </w:p>
          <w:p w14:paraId="1AFAF781" w14:textId="77777777" w:rsidR="000F6B1C" w:rsidRDefault="001365B8" w:rsidP="00683561">
            <w:pPr>
              <w:rPr>
                <w:bCs/>
                <w:lang w:eastAsia="et-EE"/>
              </w:rPr>
            </w:pPr>
            <w:r>
              <w:rPr>
                <w:bCs/>
                <w:lang w:eastAsia="et-EE"/>
              </w:rPr>
              <w:t xml:space="preserve">KAVS </w:t>
            </w:r>
            <w:r w:rsidRPr="000123C8">
              <w:rPr>
                <w:bCs/>
                <w:lang w:eastAsia="et-EE"/>
              </w:rPr>
              <w:t>§ 44 lõike 3 punkt</w:t>
            </w:r>
            <w:r>
              <w:rPr>
                <w:bCs/>
                <w:lang w:eastAsia="et-EE"/>
              </w:rPr>
              <w:t>is</w:t>
            </w:r>
            <w:r w:rsidRPr="000123C8">
              <w:rPr>
                <w:bCs/>
                <w:lang w:eastAsia="et-EE"/>
              </w:rPr>
              <w:t xml:space="preserve"> 12</w:t>
            </w:r>
            <w:r w:rsidRPr="000123C8">
              <w:rPr>
                <w:bCs/>
                <w:vertAlign w:val="superscript"/>
                <w:lang w:eastAsia="et-EE"/>
              </w:rPr>
              <w:t>1</w:t>
            </w:r>
            <w:r w:rsidRPr="000123C8">
              <w:rPr>
                <w:bCs/>
                <w:lang w:eastAsia="et-EE"/>
              </w:rPr>
              <w:t xml:space="preserve"> </w:t>
            </w:r>
            <w:r>
              <w:rPr>
                <w:bCs/>
                <w:lang w:eastAsia="et-EE"/>
              </w:rPr>
              <w:t xml:space="preserve">nimetatud kohustus ei tähenda, et krediidiandjal oleks kohustus kontrollida, kas võlgnik on vastava </w:t>
            </w:r>
            <w:proofErr w:type="spellStart"/>
            <w:r>
              <w:rPr>
                <w:bCs/>
                <w:lang w:eastAsia="et-EE"/>
              </w:rPr>
              <w:t>võlanõustamisteenuse</w:t>
            </w:r>
            <w:proofErr w:type="spellEnd"/>
            <w:r>
              <w:rPr>
                <w:bCs/>
                <w:lang w:eastAsia="et-EE"/>
              </w:rPr>
              <w:t xml:space="preserve"> pakkujaga </w:t>
            </w:r>
            <w:r w:rsidR="000F6B1C">
              <w:rPr>
                <w:bCs/>
                <w:lang w:eastAsia="et-EE"/>
              </w:rPr>
              <w:t xml:space="preserve">ühendust võtnud või mitte. </w:t>
            </w:r>
          </w:p>
          <w:p w14:paraId="58E42231" w14:textId="695A0A70" w:rsidR="00A16DDC" w:rsidRDefault="00A16DDC" w:rsidP="00A16DDC">
            <w:pPr>
              <w:ind w:left="-5"/>
            </w:pPr>
            <w:r>
              <w:t>Käesolevaga lisatakse antud lõikesse täiesti uus punkt (punkt 12</w:t>
            </w:r>
            <w:r w:rsidRPr="00BC0637">
              <w:rPr>
                <w:vertAlign w:val="superscript"/>
              </w:rPr>
              <w:t>1</w:t>
            </w:r>
            <w:r>
              <w:t xml:space="preserve">). Ehk </w:t>
            </w:r>
            <w:r w:rsidRPr="0067640C">
              <w:t>sõltumatu võlanõustamiseteenus</w:t>
            </w:r>
            <w:r>
              <w:t>e</w:t>
            </w:r>
            <w:r w:rsidRPr="0067640C">
              <w:t xml:space="preserve"> tarbijale pakku</w:t>
            </w:r>
            <w:r>
              <w:t>mise eelduseks ei ole see</w:t>
            </w:r>
            <w:r w:rsidRPr="0067640C">
              <w:t xml:space="preserve">, </w:t>
            </w:r>
            <w:r>
              <w:t xml:space="preserve">et </w:t>
            </w:r>
            <w:r w:rsidRPr="0067640C">
              <w:t xml:space="preserve">tarbija </w:t>
            </w:r>
            <w:r>
              <w:t>peaks eelnevalt</w:t>
            </w:r>
            <w:r w:rsidRPr="0067640C">
              <w:t xml:space="preserve"> esita</w:t>
            </w:r>
            <w:r>
              <w:t>ma</w:t>
            </w:r>
            <w:r w:rsidRPr="0067640C">
              <w:t xml:space="preserve"> krediidiandjale kaebuse tema krediidilepingust tuleneva võlgnevuse menetlemise osas</w:t>
            </w:r>
            <w:r>
              <w:t>.</w:t>
            </w:r>
            <w:r w:rsidRPr="0067640C">
              <w:t xml:space="preserve">  </w:t>
            </w:r>
          </w:p>
          <w:p w14:paraId="61142523" w14:textId="5439D397" w:rsidR="00A34422" w:rsidRDefault="008A3E32" w:rsidP="008A3E32">
            <w:r>
              <w:t>Vastavad selgitused on lisatud ka eelnõu seletuskirja.</w:t>
            </w:r>
          </w:p>
        </w:tc>
      </w:tr>
      <w:tr w:rsidR="00D22FD2" w14:paraId="773109E2" w14:textId="77777777" w:rsidTr="00617FBE">
        <w:tc>
          <w:tcPr>
            <w:tcW w:w="576" w:type="dxa"/>
          </w:tcPr>
          <w:p w14:paraId="1C887EFB" w14:textId="7BE8BBE4" w:rsidR="00683561" w:rsidRDefault="00683561" w:rsidP="00683561">
            <w:pPr>
              <w:jc w:val="center"/>
            </w:pPr>
            <w:r w:rsidRPr="00412371">
              <w:t>2</w:t>
            </w:r>
            <w:r w:rsidR="00DD24E1">
              <w:t>8</w:t>
            </w:r>
          </w:p>
        </w:tc>
        <w:tc>
          <w:tcPr>
            <w:tcW w:w="5040" w:type="dxa"/>
          </w:tcPr>
          <w:p w14:paraId="41830051" w14:textId="5AC28510" w:rsidR="00683561" w:rsidRPr="00ED56FA" w:rsidRDefault="00ED56FA" w:rsidP="00ED56FA">
            <w:pPr>
              <w:ind w:left="10"/>
              <w:rPr>
                <w:bCs/>
              </w:rPr>
            </w:pPr>
            <w:r>
              <w:rPr>
                <w:rFonts w:eastAsia="Calibri" w:cs="Calibri"/>
                <w:bCs/>
              </w:rPr>
              <w:t>KAVS</w:t>
            </w:r>
            <w:r w:rsidR="00CA1F95" w:rsidRPr="00ED56FA">
              <w:rPr>
                <w:rFonts w:eastAsia="Calibri" w:cs="Calibri"/>
                <w:bCs/>
              </w:rPr>
              <w:t xml:space="preserve"> </w:t>
            </w:r>
            <w:r w:rsidR="00683561" w:rsidRPr="00ED56FA">
              <w:rPr>
                <w:rFonts w:eastAsia="Calibri" w:cs="Calibri"/>
                <w:bCs/>
              </w:rPr>
              <w:t>§ 49</w:t>
            </w:r>
            <w:r w:rsidR="00683561" w:rsidRPr="00ED56FA">
              <w:rPr>
                <w:rFonts w:eastAsia="Calibri" w:cs="Calibri"/>
                <w:bCs/>
                <w:vertAlign w:val="superscript"/>
              </w:rPr>
              <w:t>1</w:t>
            </w:r>
            <w:r w:rsidR="00683561" w:rsidRPr="00ED56FA">
              <w:rPr>
                <w:rFonts w:eastAsia="Calibri" w:cs="Calibri"/>
                <w:bCs/>
              </w:rPr>
              <w:t xml:space="preserve"> </w:t>
            </w:r>
            <w:r>
              <w:rPr>
                <w:rFonts w:eastAsia="Calibri"/>
                <w:bCs/>
              </w:rPr>
              <w:t>- p</w:t>
            </w:r>
            <w:r w:rsidR="00683561" w:rsidRPr="00412371">
              <w:t>alume täpsustada, kas KAVS § 49</w:t>
            </w:r>
            <w:r w:rsidR="00683561" w:rsidRPr="00412371">
              <w:rPr>
                <w:vertAlign w:val="superscript"/>
              </w:rPr>
              <w:t>1</w:t>
            </w:r>
            <w:r w:rsidR="00683561" w:rsidRPr="00412371">
              <w:t xml:space="preserve"> rakendub ka siis, kui krediidivõimelisuse hindamisel tehakse osa protsessi automatiseeritult, nt kasutatakse </w:t>
            </w:r>
            <w:proofErr w:type="spellStart"/>
            <w:r w:rsidR="00683561" w:rsidRPr="00412371">
              <w:t>skooringumudelit</w:t>
            </w:r>
            <w:proofErr w:type="spellEnd"/>
            <w:r w:rsidR="00683561" w:rsidRPr="00412371">
              <w:t xml:space="preserve"> ning lõppotsus tehakse manuaalselt või on mõeldud vaid olukorda, kus kogu krediidivõimelisuse hindamise protsess on automaatne.  </w:t>
            </w:r>
          </w:p>
          <w:p w14:paraId="18B8C0DE" w14:textId="77777777" w:rsidR="00ED56FA" w:rsidRDefault="00ED56FA" w:rsidP="00ED56FA">
            <w:pPr>
              <w:ind w:left="10"/>
              <w:rPr>
                <w:rFonts w:eastAsia="Calibri"/>
              </w:rPr>
            </w:pPr>
          </w:p>
          <w:p w14:paraId="5068A1CE" w14:textId="10A4AE20" w:rsidR="00683561" w:rsidRPr="00412371" w:rsidRDefault="00683561" w:rsidP="00ED56FA">
            <w:pPr>
              <w:ind w:left="10"/>
            </w:pPr>
            <w:r w:rsidRPr="00CE73A0">
              <w:rPr>
                <w:rFonts w:eastAsia="Calibri" w:cs="Calibri"/>
              </w:rPr>
              <w:t>Seletuskirjas selgitataks</w:t>
            </w:r>
            <w:r w:rsidR="00ED56FA">
              <w:rPr>
                <w:rFonts w:eastAsia="Calibri" w:cs="Calibri"/>
              </w:rPr>
              <w:t xml:space="preserve">e. Et </w:t>
            </w:r>
            <w:r w:rsidR="00ED56FA" w:rsidRPr="00ED56FA">
              <w:rPr>
                <w:rFonts w:eastAsia="Calibri" w:cs="Calibri"/>
              </w:rPr>
              <w:t>p</w:t>
            </w:r>
            <w:r w:rsidRPr="00ED56FA">
              <w:rPr>
                <w:rFonts w:eastAsia="Calibri" w:cs="Calibri"/>
              </w:rPr>
              <w:t>aragrahvi 49</w:t>
            </w:r>
            <w:r w:rsidRPr="00ED56FA">
              <w:rPr>
                <w:rFonts w:eastAsia="Calibri" w:cs="Calibri"/>
                <w:vertAlign w:val="superscript"/>
              </w:rPr>
              <w:t>1</w:t>
            </w:r>
            <w:r w:rsidRPr="00ED56FA">
              <w:rPr>
                <w:rFonts w:eastAsia="Calibri" w:cs="Calibri"/>
              </w:rPr>
              <w:t xml:space="preserve"> kohaselt on tarbijal õigus saada selgeid ja arusaadavaid selgitusi ning võimalust </w:t>
            </w:r>
            <w:r w:rsidRPr="00ED56FA">
              <w:rPr>
                <w:rFonts w:eastAsia="Calibri" w:cs="Calibri"/>
                <w:u w:val="single" w:color="000000"/>
              </w:rPr>
              <w:t>kontrollida</w:t>
            </w:r>
            <w:r w:rsidRPr="00ED56FA">
              <w:rPr>
                <w:rFonts w:eastAsia="Calibri" w:cs="Calibri"/>
              </w:rPr>
              <w:t xml:space="preserve"> krediidivõimelisuse hindamist ja krediidilepingu sõlmimise otsust.“</w:t>
            </w:r>
            <w:r w:rsidRPr="00412371">
              <w:t xml:space="preserve"> </w:t>
            </w:r>
            <w:r w:rsidR="00ED56FA">
              <w:t>Direktiiv (EL) 2023/2225</w:t>
            </w:r>
            <w:r w:rsidRPr="00412371">
              <w:t xml:space="preserve"> ei sätesta tarbija poolset kontrollimise õigust, vaid tarbijal on õigus küsida selgitusi, väljendada enda seisukohta ning taotleda inimese sekkumist. Palume vastavat lauset seletuskirjas muuta, et tarbija õiguste ulatuse osas ei tekiks arusaamatusi. </w:t>
            </w:r>
          </w:p>
          <w:p w14:paraId="3B7C28F1" w14:textId="1968472E" w:rsidR="00683561" w:rsidRPr="00E1679D" w:rsidRDefault="00683561" w:rsidP="00683561"/>
        </w:tc>
        <w:tc>
          <w:tcPr>
            <w:tcW w:w="5016" w:type="dxa"/>
          </w:tcPr>
          <w:p w14:paraId="5FF00436" w14:textId="4F4F3359" w:rsidR="0012759C" w:rsidRPr="00ED56FA" w:rsidRDefault="0012759C" w:rsidP="008A3E32">
            <w:pPr>
              <w:rPr>
                <w:b/>
                <w:bCs/>
              </w:rPr>
            </w:pPr>
            <w:r w:rsidRPr="00ED56FA">
              <w:rPr>
                <w:b/>
                <w:bCs/>
              </w:rPr>
              <w:t xml:space="preserve">Arvestatud / Selgitatud. </w:t>
            </w:r>
          </w:p>
          <w:p w14:paraId="2DE4F16A" w14:textId="25F30DC6" w:rsidR="008A3E32" w:rsidRDefault="008A3E32" w:rsidP="008A3E32">
            <w:r>
              <w:t>KAVS § 49</w:t>
            </w:r>
            <w:r>
              <w:rPr>
                <w:vertAlign w:val="superscript"/>
              </w:rPr>
              <w:t>1</w:t>
            </w:r>
            <w:r>
              <w:t xml:space="preserve"> hõlma</w:t>
            </w:r>
            <w:r w:rsidR="00CA1F95">
              <w:t>b</w:t>
            </w:r>
            <w:r>
              <w:t xml:space="preserve"> </w:t>
            </w:r>
            <w:r w:rsidR="00CA1F95">
              <w:t>ka</w:t>
            </w:r>
            <w:r>
              <w:t xml:space="preserve"> osalist automatiseeritud töötlemist. Konkreetselt </w:t>
            </w:r>
            <w:r w:rsidR="00CA1F95">
              <w:t>KAVS § 49</w:t>
            </w:r>
            <w:r w:rsidR="00CA1F95">
              <w:rPr>
                <w:vertAlign w:val="superscript"/>
              </w:rPr>
              <w:t>1</w:t>
            </w:r>
            <w:r w:rsidR="00CA1F95">
              <w:t xml:space="preserve"> </w:t>
            </w:r>
            <w:r>
              <w:t xml:space="preserve">kontekstis tähendab see seega, et isegi, kui vaid ühes etapis </w:t>
            </w:r>
            <w:r w:rsidR="00CA1F95" w:rsidRPr="00412371">
              <w:t>krediidivõimelisuse hindamise</w:t>
            </w:r>
            <w:r w:rsidR="00CA1F95">
              <w:t xml:space="preserve"> </w:t>
            </w:r>
            <w:r>
              <w:t xml:space="preserve">protsessis on kasutatud automatiseeritud andmetöötlust, siis peab </w:t>
            </w:r>
            <w:r w:rsidR="17B2D62A">
              <w:t xml:space="preserve">tarbijat </w:t>
            </w:r>
            <w:r>
              <w:t xml:space="preserve">sellest teavitama. </w:t>
            </w:r>
            <w:r w:rsidR="00B11530">
              <w:t>Sellele viitab ka direktiivi (EL) 2023/2225 arti</w:t>
            </w:r>
            <w:r w:rsidR="00CB0671">
              <w:t>kkel 18 lg 8 ingliskeelse</w:t>
            </w:r>
            <w:r w:rsidR="00B5283F">
              <w:t xml:space="preserve"> </w:t>
            </w:r>
            <w:r w:rsidR="00CB0671">
              <w:t>versioon</w:t>
            </w:r>
            <w:r w:rsidR="00B5283F">
              <w:t>i</w:t>
            </w:r>
            <w:r w:rsidR="00CB0671">
              <w:t xml:space="preserve"> </w:t>
            </w:r>
            <w:r w:rsidR="00B5283F">
              <w:t>sõnastus</w:t>
            </w:r>
            <w:r w:rsidR="00CB0671">
              <w:t xml:space="preserve"> „</w:t>
            </w:r>
            <w:proofErr w:type="spellStart"/>
            <w:r w:rsidR="00CB0671">
              <w:t>where</w:t>
            </w:r>
            <w:proofErr w:type="spellEnd"/>
            <w:r w:rsidR="00CB0671">
              <w:t xml:space="preserve"> </w:t>
            </w:r>
            <w:proofErr w:type="spellStart"/>
            <w:r w:rsidR="00CB0671">
              <w:t>the</w:t>
            </w:r>
            <w:proofErr w:type="spellEnd"/>
            <w:r w:rsidR="00CB0671">
              <w:t xml:space="preserve"> </w:t>
            </w:r>
            <w:proofErr w:type="spellStart"/>
            <w:r w:rsidR="00CB0671">
              <w:t>creditworthiness</w:t>
            </w:r>
            <w:proofErr w:type="spellEnd"/>
            <w:r w:rsidR="00CB0671">
              <w:t xml:space="preserve"> </w:t>
            </w:r>
            <w:proofErr w:type="spellStart"/>
            <w:r w:rsidR="00CB0671">
              <w:t>assesment</w:t>
            </w:r>
            <w:proofErr w:type="spellEnd"/>
            <w:r w:rsidR="00CB0671">
              <w:t xml:space="preserve"> </w:t>
            </w:r>
            <w:proofErr w:type="spellStart"/>
            <w:r w:rsidR="00CB0671">
              <w:rPr>
                <w:i/>
                <w:iCs/>
              </w:rPr>
              <w:t>involves</w:t>
            </w:r>
            <w:proofErr w:type="spellEnd"/>
            <w:r w:rsidR="00B5283F">
              <w:t xml:space="preserve"> </w:t>
            </w:r>
            <w:proofErr w:type="spellStart"/>
            <w:r w:rsidR="00B5283F">
              <w:t>the</w:t>
            </w:r>
            <w:proofErr w:type="spellEnd"/>
            <w:r w:rsidR="00B5283F">
              <w:t xml:space="preserve"> </w:t>
            </w:r>
            <w:proofErr w:type="spellStart"/>
            <w:r w:rsidR="00B5283F">
              <w:t>use</w:t>
            </w:r>
            <w:proofErr w:type="spellEnd"/>
            <w:r w:rsidR="00B5283F">
              <w:t xml:space="preserve"> of automated </w:t>
            </w:r>
            <w:proofErr w:type="spellStart"/>
            <w:r w:rsidR="00B5283F">
              <w:t>processing</w:t>
            </w:r>
            <w:proofErr w:type="spellEnd"/>
            <w:r w:rsidR="00B5283F">
              <w:t xml:space="preserve"> of personal </w:t>
            </w:r>
            <w:proofErr w:type="spellStart"/>
            <w:r w:rsidR="00B5283F">
              <w:t>data</w:t>
            </w:r>
            <w:proofErr w:type="spellEnd"/>
            <w:r w:rsidR="00B5283F">
              <w:t xml:space="preserve"> /…/“. </w:t>
            </w:r>
            <w:r>
              <w:t>Küll aga pea</w:t>
            </w:r>
            <w:r w:rsidR="638E0C94">
              <w:t>vad</w:t>
            </w:r>
            <w:r>
              <w:t xml:space="preserve"> automatiseeritud andmetöötluses kasutatavad andmed olema sisulised</w:t>
            </w:r>
            <w:r w:rsidR="00B0311B">
              <w:t xml:space="preserve"> ja auto</w:t>
            </w:r>
            <w:r w:rsidR="00D7662C">
              <w:t>matiseeritud andmetöötlus peab mõjutama krediidivõimelisuse hindamise tulemust. S</w:t>
            </w:r>
            <w:r>
              <w:t>ee tähendab, et kui töödeldakse selliseid andmeid, mis ei ole konkreetse hinna kujundamisel määravad (nt tarbija kontaktandmed kantakse krediidiandja sisemisest infosüsteemist mõnele formularile vms), siis sellest eraldi teavitama ei pea.</w:t>
            </w:r>
            <w:r w:rsidR="0012759C">
              <w:t xml:space="preserve"> Vastav selgitus on lisatud ka eelnõu seletuskirja.</w:t>
            </w:r>
          </w:p>
          <w:p w14:paraId="5E23E11F" w14:textId="77777777" w:rsidR="00ED56FA" w:rsidRDefault="00ED56FA" w:rsidP="00B83FC9"/>
          <w:p w14:paraId="253B8383" w14:textId="02CBC3D1" w:rsidR="00E64755" w:rsidRDefault="0012759C" w:rsidP="00B83FC9">
            <w:r>
              <w:t>Eelnõu seletuskirja on samuti muudetud selliselt, et KAVS § 54</w:t>
            </w:r>
            <w:r>
              <w:rPr>
                <w:vertAlign w:val="superscript"/>
              </w:rPr>
              <w:t>1</w:t>
            </w:r>
            <w:r>
              <w:t xml:space="preserve"> ei hõlma tarbija </w:t>
            </w:r>
            <w:r w:rsidR="00B83FC9">
              <w:t xml:space="preserve">õigust kontrollida krediidivõimelisuse hindamist ja krediidilepingu sõlmimise otsust, vaid tarbija õigust saada eeltoodud protsessidest ülevaade. </w:t>
            </w:r>
            <w:r w:rsidR="00304B34">
              <w:t xml:space="preserve"> </w:t>
            </w:r>
          </w:p>
        </w:tc>
      </w:tr>
      <w:tr w:rsidR="00D22FD2" w14:paraId="0EEEB497" w14:textId="77777777" w:rsidTr="00617FBE">
        <w:tc>
          <w:tcPr>
            <w:tcW w:w="576" w:type="dxa"/>
          </w:tcPr>
          <w:p w14:paraId="2F552661" w14:textId="14961122" w:rsidR="00683561" w:rsidRDefault="00DD24E1" w:rsidP="00683561">
            <w:pPr>
              <w:jc w:val="center"/>
            </w:pPr>
            <w:r>
              <w:lastRenderedPageBreak/>
              <w:t>29</w:t>
            </w:r>
          </w:p>
        </w:tc>
        <w:tc>
          <w:tcPr>
            <w:tcW w:w="5040" w:type="dxa"/>
          </w:tcPr>
          <w:p w14:paraId="790EB41B" w14:textId="77777777" w:rsidR="00683561" w:rsidRPr="00ED3BE8" w:rsidRDefault="00683561" w:rsidP="00683561">
            <w:pPr>
              <w:pStyle w:val="Pealkiri3"/>
              <w:spacing w:before="0" w:after="0"/>
              <w:ind w:left="-5"/>
              <w:rPr>
                <w:color w:val="auto"/>
                <w:sz w:val="24"/>
                <w:szCs w:val="24"/>
              </w:rPr>
            </w:pPr>
            <w:r w:rsidRPr="00ED3BE8">
              <w:rPr>
                <w:color w:val="auto"/>
                <w:sz w:val="24"/>
                <w:szCs w:val="24"/>
              </w:rPr>
              <w:t xml:space="preserve">KAVS § 50 lõige 3 </w:t>
            </w:r>
          </w:p>
          <w:p w14:paraId="4FB8AA31" w14:textId="77777777" w:rsidR="001F16F5" w:rsidRDefault="001F16F5" w:rsidP="00683561">
            <w:pPr>
              <w:ind w:left="-5"/>
            </w:pPr>
          </w:p>
          <w:p w14:paraId="44206F30" w14:textId="6C31DB58" w:rsidR="00683561" w:rsidRPr="00412371" w:rsidRDefault="00683561" w:rsidP="00683561">
            <w:pPr>
              <w:ind w:left="-5"/>
            </w:pPr>
            <w:r w:rsidRPr="00412371">
              <w:t>VÕS § 403</w:t>
            </w:r>
            <w:r w:rsidRPr="00412371">
              <w:rPr>
                <w:vertAlign w:val="superscript"/>
              </w:rPr>
              <w:t xml:space="preserve">4 </w:t>
            </w:r>
            <w:proofErr w:type="spellStart"/>
            <w:r w:rsidR="00ED56FA">
              <w:t>lg-s</w:t>
            </w:r>
            <w:proofErr w:type="spellEnd"/>
            <w:r w:rsidR="00ED56FA">
              <w:t xml:space="preserve"> 2</w:t>
            </w:r>
            <w:r w:rsidRPr="00412371">
              <w:t xml:space="preserve"> sätestatakse, et krediidiandja peab krediidivõimelisuse hindamisel arvesse võtma kõiki asjaolusid, mis võivad mõjutada tarbija võimet krediiti tagasi maksta, ning määrama hindamistoimingute ulatuse vastavalt lepingu tingimustele, olemasolevatele andmetele, kohustuse suurusele ja krediidist tulenevatele riskidele. Seega on seadusega selgesõnaliselt  lubatav riskipõhine ja proportsionaalne lähenemine, mida toetab ka </w:t>
            </w:r>
            <w:r w:rsidR="00ED56FA">
              <w:t xml:space="preserve">direktiivi </w:t>
            </w:r>
            <w:r w:rsidR="00A64FD9">
              <w:t xml:space="preserve">(EL) </w:t>
            </w:r>
            <w:r w:rsidR="006E4204">
              <w:t>2023/2225</w:t>
            </w:r>
            <w:r w:rsidRPr="00412371">
              <w:t xml:space="preserve"> </w:t>
            </w:r>
            <w:r w:rsidR="006E4204">
              <w:t xml:space="preserve">artikkel </w:t>
            </w:r>
            <w:r w:rsidRPr="00412371">
              <w:t xml:space="preserve">18 </w:t>
            </w:r>
            <w:r w:rsidR="00530059">
              <w:t>I</w:t>
            </w:r>
            <w:r w:rsidRPr="00412371">
              <w:t xml:space="preserve"> .3. </w:t>
            </w:r>
          </w:p>
          <w:p w14:paraId="2B565630" w14:textId="77777777" w:rsidR="00683561" w:rsidRPr="00412371" w:rsidRDefault="00683561" w:rsidP="00683561">
            <w:pPr>
              <w:ind w:left="-5"/>
            </w:pPr>
            <w:r w:rsidRPr="00412371">
              <w:t xml:space="preserve"> </w:t>
            </w:r>
          </w:p>
          <w:p w14:paraId="2A35296F" w14:textId="45BFB58B" w:rsidR="00683561" w:rsidRPr="00412371" w:rsidRDefault="00530059" w:rsidP="00683561">
            <w:pPr>
              <w:ind w:left="-5"/>
            </w:pPr>
            <w:r>
              <w:t>Direktiivi (EL) 2023/2225</w:t>
            </w:r>
            <w:r w:rsidRPr="00412371">
              <w:t xml:space="preserve"> </w:t>
            </w:r>
            <w:r w:rsidR="00683561" w:rsidRPr="00412371">
              <w:t xml:space="preserve"> artikli 18 lõike 3 ülesehitus on süsteemne ja kaheosaline. Esmalt sätestatakse, et krediidivõimelisuse hindamiseks kasutatav teave peab olema vajalik ja proportsionaalne krediidi liigi, kestuse, väärtuse ja riskidega. Seejärel nähakse ette, et kogutud teavet kontrollitakse asjakohaselt ning vajaduse korral seotakse see sõltumatult kontrollitava dokumentatsiooniga. Kontrollimise kohustus ei ole seega autonoomne ega absoluutne, vaid allub proportsionaalsuse põhimõttele. Sõnastus </w:t>
            </w:r>
            <w:r w:rsidR="00683561" w:rsidRPr="00ED3BE8">
              <w:rPr>
                <w:rFonts w:eastAsia="Calibri" w:cs="Calibri"/>
              </w:rPr>
              <w:t>„</w:t>
            </w:r>
            <w:r w:rsidR="00683561" w:rsidRPr="00ED3BE8">
              <w:rPr>
                <w:rFonts w:eastAsia="Calibri" w:cs="Calibri"/>
                <w:i/>
              </w:rPr>
              <w:t>vajaduse korral</w:t>
            </w:r>
            <w:r w:rsidR="00683561" w:rsidRPr="00ED3BE8">
              <w:rPr>
                <w:rFonts w:eastAsia="Calibri" w:cs="Calibri"/>
              </w:rPr>
              <w:t>“</w:t>
            </w:r>
            <w:r w:rsidR="00683561" w:rsidRPr="00412371">
              <w:t xml:space="preserve"> tähendab, et sõltumatult kontrollitava dokumentatsiooni kasutamine ei ole universaalne kohustus. </w:t>
            </w:r>
          </w:p>
          <w:p w14:paraId="5483516D" w14:textId="77777777" w:rsidR="00683561" w:rsidRPr="00412371" w:rsidRDefault="00683561" w:rsidP="00683561">
            <w:pPr>
              <w:ind w:left="-5"/>
            </w:pPr>
            <w:r w:rsidRPr="00412371">
              <w:t xml:space="preserve"> </w:t>
            </w:r>
          </w:p>
          <w:p w14:paraId="4CD7B516" w14:textId="55C756AD" w:rsidR="00683561" w:rsidRPr="00412371" w:rsidRDefault="00683561" w:rsidP="00683561">
            <w:pPr>
              <w:ind w:left="-5"/>
            </w:pPr>
            <w:r w:rsidRPr="00412371">
              <w:t>Sama</w:t>
            </w:r>
            <w:r w:rsidR="000F6738">
              <w:t>l</w:t>
            </w:r>
            <w:r w:rsidRPr="00412371">
              <w:t xml:space="preserve"> ajal on KAVS § 50 lõikest 3 eemaldatud  põhimõte, et krediidiandja võib teabe kontrollimisel teha </w:t>
            </w:r>
            <w:r w:rsidRPr="00ED3BE8">
              <w:rPr>
                <w:rFonts w:eastAsia="Calibri" w:cs="Calibri"/>
              </w:rPr>
              <w:t>„</w:t>
            </w:r>
            <w:r w:rsidRPr="00ED3BE8">
              <w:rPr>
                <w:rFonts w:eastAsia="Calibri" w:cs="Calibri"/>
                <w:i/>
              </w:rPr>
              <w:t>mõistlikke pingutusi</w:t>
            </w:r>
            <w:r w:rsidRPr="00ED3BE8">
              <w:rPr>
                <w:rFonts w:eastAsia="Calibri" w:cs="Calibri"/>
              </w:rPr>
              <w:t xml:space="preserve">“, selle asemel peab ta täitma absoluutse kohustuse ehk kontrollima kogu tarbija </w:t>
            </w:r>
            <w:r w:rsidRPr="00412371">
              <w:t xml:space="preserve">esitatud teavet, arvestades </w:t>
            </w:r>
            <w:proofErr w:type="spellStart"/>
            <w:r w:rsidRPr="00412371">
              <w:t>KAVSis</w:t>
            </w:r>
            <w:proofErr w:type="spellEnd"/>
            <w:r w:rsidRPr="00412371">
              <w:t xml:space="preserve"> ja </w:t>
            </w:r>
            <w:proofErr w:type="spellStart"/>
            <w:r w:rsidRPr="00412371">
              <w:t>VÕSis</w:t>
            </w:r>
            <w:proofErr w:type="spellEnd"/>
            <w:r w:rsidRPr="00412371">
              <w:t xml:space="preserve"> sätestatud nõudeid informatsiooni kogumisele ja tuginedes vajaduse korral talle iseseisvalt kättesaadavale teabele. See muudatus on suunatud </w:t>
            </w:r>
            <w:r w:rsidR="00530059">
              <w:t>Direktiivi (EL) 2023/2225</w:t>
            </w:r>
            <w:r w:rsidR="00530059" w:rsidRPr="00412371">
              <w:t xml:space="preserve"> </w:t>
            </w:r>
            <w:r w:rsidRPr="00412371">
              <w:t>artikli 18 lõike 3 viimase lause ülevõtmisele, mille kohaselt kogutud teavet tuleb kontrollida asjakohaselt (</w:t>
            </w:r>
            <w:r w:rsidRPr="00ED3BE8">
              <w:rPr>
                <w:rFonts w:eastAsia="Calibri" w:cs="Calibri"/>
              </w:rPr>
              <w:t>„</w:t>
            </w:r>
            <w:proofErr w:type="spellStart"/>
            <w:r w:rsidRPr="00ED3BE8">
              <w:rPr>
                <w:rFonts w:eastAsia="Calibri" w:cs="Calibri"/>
                <w:i/>
              </w:rPr>
              <w:t>appropriately</w:t>
            </w:r>
            <w:proofErr w:type="spellEnd"/>
            <w:r w:rsidRPr="00ED3BE8">
              <w:rPr>
                <w:rFonts w:eastAsia="Calibri" w:cs="Calibri"/>
                <w:i/>
              </w:rPr>
              <w:t xml:space="preserve"> </w:t>
            </w:r>
            <w:proofErr w:type="spellStart"/>
            <w:r w:rsidRPr="00ED3BE8">
              <w:rPr>
                <w:rFonts w:eastAsia="Calibri" w:cs="Calibri"/>
                <w:i/>
              </w:rPr>
              <w:t>verify</w:t>
            </w:r>
            <w:proofErr w:type="spellEnd"/>
            <w:r w:rsidRPr="00ED3BE8">
              <w:rPr>
                <w:rFonts w:eastAsia="Calibri" w:cs="Calibri"/>
              </w:rPr>
              <w:t>“</w:t>
            </w:r>
            <w:r w:rsidRPr="00412371">
              <w:t xml:space="preserve">) ning vajaduse korral siduda see sõltumatult kontrollitava dokumentatsiooniga.  Kui </w:t>
            </w:r>
            <w:proofErr w:type="spellStart"/>
            <w:r w:rsidRPr="00412371">
              <w:t>KAVSi</w:t>
            </w:r>
            <w:proofErr w:type="spellEnd"/>
            <w:r w:rsidRPr="00412371">
              <w:t xml:space="preserve"> § 50 lõiget 3 t</w:t>
            </w:r>
            <w:r w:rsidR="00530059">
              <w:t>õ</w:t>
            </w:r>
            <w:r w:rsidRPr="00412371">
              <w:t xml:space="preserve">lgendatakse autonoomselt, sidumata </w:t>
            </w:r>
            <w:r w:rsidRPr="00412371">
              <w:lastRenderedPageBreak/>
              <w:t>seda VÕS §-s 403</w:t>
            </w:r>
            <w:r w:rsidRPr="00ED3BE8">
              <w:rPr>
                <w:rFonts w:eastAsia="Calibri" w:cs="Calibri"/>
              </w:rPr>
              <w:t>⁴</w:t>
            </w:r>
            <w:r w:rsidRPr="00412371">
              <w:t xml:space="preserve"> lõikes 2 lubatud riskipõhise ja proportsionaalse regulatsiooniga, võib praktikas välja absoluutne kontrollimise kohustus, st kõik tarbija esitatud andmed tuleb igal juhul täiendavalt kolmandatest allikatest kontrollida. Selline tõlgendus ei tulene direktiivist ning muudaks võimatuks </w:t>
            </w:r>
            <w:r w:rsidR="00530059">
              <w:t>Direktiivi (EL) 2023/2225</w:t>
            </w:r>
            <w:r w:rsidR="00530059" w:rsidRPr="00412371">
              <w:t xml:space="preserve"> </w:t>
            </w:r>
            <w:r w:rsidRPr="00412371">
              <w:t>artikli 18 lõike 3 esimeses lauses sätestatud proportsionaalsuse põhimõtte rakendamist Eestis. Direktiivi riski- ja vajadusepõhine nõue (</w:t>
            </w:r>
            <w:r w:rsidRPr="00ED3BE8">
              <w:rPr>
                <w:rFonts w:eastAsia="Calibri" w:cs="Calibri"/>
              </w:rPr>
              <w:t>„</w:t>
            </w:r>
            <w:proofErr w:type="spellStart"/>
            <w:r w:rsidRPr="00ED3BE8">
              <w:rPr>
                <w:rFonts w:eastAsia="Calibri" w:cs="Calibri"/>
                <w:i/>
              </w:rPr>
              <w:t>where</w:t>
            </w:r>
            <w:proofErr w:type="spellEnd"/>
            <w:r w:rsidRPr="00ED3BE8">
              <w:rPr>
                <w:rFonts w:eastAsia="Calibri" w:cs="Calibri"/>
                <w:i/>
              </w:rPr>
              <w:t xml:space="preserve"> </w:t>
            </w:r>
            <w:proofErr w:type="spellStart"/>
            <w:r w:rsidRPr="00ED3BE8">
              <w:rPr>
                <w:rFonts w:eastAsia="Calibri" w:cs="Calibri"/>
                <w:i/>
              </w:rPr>
              <w:t>necessary</w:t>
            </w:r>
            <w:proofErr w:type="spellEnd"/>
            <w:r w:rsidRPr="00ED3BE8">
              <w:rPr>
                <w:rFonts w:eastAsia="Calibri" w:cs="Calibri"/>
              </w:rPr>
              <w:t>“</w:t>
            </w:r>
            <w:r w:rsidRPr="00412371">
              <w:t xml:space="preserve">) ei tohi siseriiklikus õiguses muutuda absoluutseks kohustuseks. </w:t>
            </w:r>
          </w:p>
          <w:p w14:paraId="0A4AFBD1" w14:textId="77777777" w:rsidR="00683561" w:rsidRPr="00412371" w:rsidRDefault="00683561" w:rsidP="00683561">
            <w:pPr>
              <w:ind w:left="-5"/>
            </w:pPr>
            <w:r w:rsidRPr="00412371">
              <w:t xml:space="preserve"> </w:t>
            </w:r>
          </w:p>
          <w:p w14:paraId="79AB26D6" w14:textId="77777777" w:rsidR="00683561" w:rsidRPr="00412371" w:rsidRDefault="00683561" w:rsidP="00683561">
            <w:pPr>
              <w:ind w:left="-5"/>
            </w:pPr>
            <w:r w:rsidRPr="00412371">
              <w:t xml:space="preserve">Selline kohustus ei oleks vastavuses direktiivi põhimõtetega, muudaks võimatuks riskipõhist ja proportsionaalset lähenemist, teeks teatud krediiditooted ebamõistlikult kalliks ning piiraks innovatsiooni, mis põhineb andmepõhisel ja automatiseeritud töötlusel. Tehnoloogia kasutamine teeb krediidivõimelisuse hindamise protsessi sõltumatuks, ajakohaseks ja täpseks. Direktiivi eesmark ei ole pidurdada krediidiprotsesside digitaliseerimist, vaid tagada nende vastavus tarbijakaitse eesmärkidele. </w:t>
            </w:r>
          </w:p>
          <w:p w14:paraId="35FDDC80" w14:textId="77777777" w:rsidR="00683561" w:rsidRPr="00412371" w:rsidRDefault="00683561" w:rsidP="00683561">
            <w:pPr>
              <w:ind w:left="-5"/>
            </w:pPr>
            <w:r w:rsidRPr="00412371">
              <w:t xml:space="preserve"> </w:t>
            </w:r>
          </w:p>
          <w:p w14:paraId="2768E4C9" w14:textId="36BFBA8A" w:rsidR="00683561" w:rsidRPr="00412371" w:rsidRDefault="00683561" w:rsidP="00530059">
            <w:pPr>
              <w:ind w:left="-5"/>
            </w:pPr>
            <w:r w:rsidRPr="00530059">
              <w:rPr>
                <w:rFonts w:eastAsia="Calibri" w:cs="Calibri"/>
                <w:bCs/>
              </w:rPr>
              <w:t>Teeme ettepaneku</w:t>
            </w:r>
            <w:r w:rsidRPr="00412371">
              <w:t xml:space="preserve"> sõnastada KAVS § 50 lõige 3 järgnevalt:</w:t>
            </w:r>
            <w:r w:rsidR="00530059">
              <w:t xml:space="preserve"> </w:t>
            </w:r>
            <w:r w:rsidRPr="00ED3BE8">
              <w:rPr>
                <w:rFonts w:eastAsia="Calibri" w:cs="Calibri"/>
              </w:rPr>
              <w:t>„</w:t>
            </w:r>
            <w:r w:rsidRPr="00ED3BE8">
              <w:rPr>
                <w:rFonts w:eastAsia="Calibri" w:cs="Calibri"/>
                <w:i/>
              </w:rPr>
              <w:t>Krediidiandja või -vahendaja kontrollib krediidivõimelisuse hindamiseks kogutud teavet asjakohaselt, arvestades võlaõigusseaduse § 403⁴ lõikes 2 sätestatud hindamise ulatust. Kontrolli ulatus ja meetod peavad olema vajalikud ja proportsionaalsed, lahtudes krediidi liigist, kestusest, summast ja krediidist tulenevatest riskidest.</w:t>
            </w:r>
            <w:r w:rsidRPr="00ED3BE8">
              <w:rPr>
                <w:rFonts w:eastAsia="Calibri" w:cs="Calibri"/>
              </w:rPr>
              <w:t>”</w:t>
            </w:r>
            <w:r w:rsidRPr="00412371">
              <w:t xml:space="preserve"> </w:t>
            </w:r>
          </w:p>
          <w:p w14:paraId="70AE13B4" w14:textId="3CE6B085" w:rsidR="00683561" w:rsidRDefault="00683561" w:rsidP="00683561"/>
        </w:tc>
        <w:tc>
          <w:tcPr>
            <w:tcW w:w="5016" w:type="dxa"/>
          </w:tcPr>
          <w:p w14:paraId="7847BC70" w14:textId="699F14AD" w:rsidR="001F16F5" w:rsidRPr="00695771" w:rsidRDefault="00695771" w:rsidP="00FE2B5A">
            <w:pPr>
              <w:rPr>
                <w:b/>
                <w:bCs/>
              </w:rPr>
            </w:pPr>
            <w:r w:rsidRPr="00695771">
              <w:rPr>
                <w:b/>
                <w:bCs/>
              </w:rPr>
              <w:lastRenderedPageBreak/>
              <w:t xml:space="preserve">Arvestatud osaliselt / Selgitatud. </w:t>
            </w:r>
          </w:p>
          <w:p w14:paraId="638989BA" w14:textId="0607A465" w:rsidR="00764B6D" w:rsidRDefault="00B22264" w:rsidP="00B22264">
            <w:r>
              <w:t xml:space="preserve">Justiits- ja Digiministeerium on nõus, et krediidivõimelisuse hindamiseks kasutatava teabe kontrollimise kohustus ei ole absoluutne ning ka selle juures tuleb lähtuda eelkõige proportsionaalsuse ja riskipõhisuse põhimõtetest. </w:t>
            </w:r>
            <w:r w:rsidR="00764B6D">
              <w:t>Direktiiv (EL) 2023/2225 artikli 18 lg 3 teine lõik kasutab sõnastust „kontrollitakse asjakohaselt“, mis eeltoodud põhimõtetele ka viitab.</w:t>
            </w:r>
            <w:r w:rsidR="00755FFD">
              <w:t xml:space="preserve"> Sama sõnastus on muu hulgas ka direktiivi 2014/17/E</w:t>
            </w:r>
            <w:r w:rsidR="001E6BA8">
              <w:t>L</w:t>
            </w:r>
            <w:r w:rsidR="00755FFD">
              <w:t xml:space="preserve"> (hüpoteekkrediidi direktiiv) artikli 20 lg 1 viimases lauses, mille kohaselt </w:t>
            </w:r>
            <w:r w:rsidR="00080A1F">
              <w:t xml:space="preserve">kontrollitakse teavet asjakohaselt, sealhulgas kasutades vajaduse korral </w:t>
            </w:r>
            <w:r w:rsidR="00237BA6">
              <w:t>sõltumatult kontrollitavat dokumentatsiooni.</w:t>
            </w:r>
            <w:r w:rsidR="00764B6D">
              <w:t xml:space="preserve"> Märkusest tulenevalt on </w:t>
            </w:r>
            <w:r w:rsidR="00717F53">
              <w:t xml:space="preserve">KAVS § 50 lõike 3 sõnastust täiendatud selliselt, et </w:t>
            </w:r>
            <w:r w:rsidR="006900E6">
              <w:t>see sä</w:t>
            </w:r>
            <w:r w:rsidR="00F00E0E">
              <w:t xml:space="preserve">testab teabe kontrollimise kohustuse </w:t>
            </w:r>
            <w:r w:rsidR="00F00E0E" w:rsidRPr="00F00E0E">
              <w:rPr>
                <w:i/>
                <w:iCs/>
              </w:rPr>
              <w:t>asjakohaselt</w:t>
            </w:r>
            <w:r w:rsidR="00F00E0E">
              <w:t>.</w:t>
            </w:r>
          </w:p>
          <w:p w14:paraId="5D0CE85B" w14:textId="77777777" w:rsidR="00F00E0E" w:rsidRDefault="00F00E0E" w:rsidP="00B22264"/>
          <w:p w14:paraId="59AB91D4" w14:textId="53433D13" w:rsidR="007B6DB8" w:rsidRDefault="00F00E0E" w:rsidP="00B22264">
            <w:pPr>
              <w:rPr>
                <w:color w:val="000000" w:themeColor="text1"/>
              </w:rPr>
            </w:pPr>
            <w:r>
              <w:t xml:space="preserve">Märkuses on ka välja toodud, et kontrollimise kohustus tuleb siduda </w:t>
            </w:r>
            <w:r w:rsidRPr="00412371">
              <w:t>VÕS §-s 403</w:t>
            </w:r>
            <w:r w:rsidRPr="00ED3BE8">
              <w:rPr>
                <w:rFonts w:eastAsia="Calibri" w:cs="Calibri"/>
              </w:rPr>
              <w:t>⁴</w:t>
            </w:r>
            <w:r w:rsidRPr="00412371">
              <w:t xml:space="preserve"> lõikes 2 lubatud riskipõhise ja proportsionaalse regulatsiooniga</w:t>
            </w:r>
            <w:r>
              <w:t xml:space="preserve">. Eelnõu kohane </w:t>
            </w:r>
            <w:r w:rsidRPr="00F00E0E">
              <w:t>KAVS § 50 lõige 3</w:t>
            </w:r>
            <w:r>
              <w:t xml:space="preserve"> viitab, et teabe kontrollimisel tuleb </w:t>
            </w:r>
            <w:r>
              <w:rPr>
                <w:i/>
                <w:iCs/>
              </w:rPr>
              <w:t xml:space="preserve">arvestada </w:t>
            </w:r>
            <w:r w:rsidR="007B7EB9">
              <w:rPr>
                <w:i/>
                <w:iCs/>
              </w:rPr>
              <w:t xml:space="preserve">käesolevas seaduses </w:t>
            </w:r>
            <w:r w:rsidR="007B7EB9">
              <w:t xml:space="preserve">(st KAVS) </w:t>
            </w:r>
            <w:r w:rsidR="007B7EB9">
              <w:rPr>
                <w:i/>
                <w:iCs/>
              </w:rPr>
              <w:t>ja võlaõigusseaduses sätestatud nõudeid informatsiooni kogumisele</w:t>
            </w:r>
            <w:r w:rsidR="007B7EB9">
              <w:t xml:space="preserve">. Justiits- ja Digiministeerium leiab, et </w:t>
            </w:r>
            <w:r w:rsidR="00B70463">
              <w:t xml:space="preserve">vastavad viited loovad muu hulgas seose ka </w:t>
            </w:r>
            <w:r w:rsidR="00B70463" w:rsidRPr="00412371">
              <w:t>VÕS § 403</w:t>
            </w:r>
            <w:r w:rsidR="00B70463" w:rsidRPr="00ED3BE8">
              <w:rPr>
                <w:rFonts w:eastAsia="Calibri" w:cs="Calibri"/>
              </w:rPr>
              <w:t>⁴</w:t>
            </w:r>
            <w:r w:rsidR="00B70463" w:rsidRPr="00412371">
              <w:t xml:space="preserve"> lõik</w:t>
            </w:r>
            <w:r w:rsidR="00B70463">
              <w:t>e</w:t>
            </w:r>
            <w:r w:rsidR="00B70463" w:rsidRPr="00412371">
              <w:t xml:space="preserve"> 2</w:t>
            </w:r>
            <w:r w:rsidR="00B70463">
              <w:t xml:space="preserve"> regulatsiooniga. </w:t>
            </w:r>
            <w:r w:rsidR="00E254E4">
              <w:t>Seost proportsionaalsuse ja riskipõhisusega on rõhutatud ka seletuskirjas</w:t>
            </w:r>
            <w:r w:rsidR="00825F14">
              <w:t xml:space="preserve"> ning märgitud, et </w:t>
            </w:r>
            <w:r w:rsidR="007B6DB8">
              <w:t xml:space="preserve">see regulatsioon toimib ühtse tervikuna koos artikli 18 lõike 3 esimese lõiguga, mis võetakse üle </w:t>
            </w:r>
            <w:r w:rsidR="007B6DB8" w:rsidRPr="5DCC825D">
              <w:rPr>
                <w:color w:val="202020"/>
              </w:rPr>
              <w:t xml:space="preserve">VÕS § </w:t>
            </w:r>
            <w:r w:rsidR="007B6DB8" w:rsidRPr="5DCC825D">
              <w:rPr>
                <w:color w:val="000000" w:themeColor="text1"/>
              </w:rPr>
              <w:t>403</w:t>
            </w:r>
            <w:r w:rsidR="007B6DB8" w:rsidRPr="5DCC825D">
              <w:rPr>
                <w:color w:val="000000" w:themeColor="text1"/>
                <w:vertAlign w:val="superscript"/>
              </w:rPr>
              <w:t>4</w:t>
            </w:r>
            <w:r w:rsidR="007B6DB8" w:rsidRPr="5DCC825D">
              <w:rPr>
                <w:color w:val="000000" w:themeColor="text1"/>
              </w:rPr>
              <w:t xml:space="preserve"> lõikesse 2 ja mis reguleerib krediidiandja poolt teabe kogumist ja hindamistoimingute ulatust</w:t>
            </w:r>
            <w:r w:rsidR="007B6DB8">
              <w:rPr>
                <w:color w:val="000000" w:themeColor="text1"/>
              </w:rPr>
              <w:t>.</w:t>
            </w:r>
          </w:p>
          <w:p w14:paraId="69E0A10A" w14:textId="77777777" w:rsidR="003E6E91" w:rsidRDefault="003E6E91" w:rsidP="00B22264">
            <w:pPr>
              <w:rPr>
                <w:color w:val="000000" w:themeColor="text1"/>
              </w:rPr>
            </w:pPr>
          </w:p>
          <w:p w14:paraId="6136D0A2" w14:textId="726B5E05" w:rsidR="005C5BCC" w:rsidRPr="00CB6B21" w:rsidRDefault="003E6E91" w:rsidP="00CB6B21">
            <w:pPr>
              <w:rPr>
                <w:rFonts w:eastAsia="Calibri" w:cs="Calibri"/>
                <w:iCs/>
              </w:rPr>
            </w:pPr>
            <w:r>
              <w:rPr>
                <w:color w:val="000000" w:themeColor="text1"/>
              </w:rPr>
              <w:t xml:space="preserve">Samu põhimõtteid peegeldab ka ettepanekus tehtud ettepanek teistsuguseks KAVS § 50 lg 3 sõnastuseks, kuid täies mahus ei ole võimalik sellega arvestada. Esiteks ei saa KAVS § 50 </w:t>
            </w:r>
            <w:proofErr w:type="spellStart"/>
            <w:r>
              <w:rPr>
                <w:color w:val="000000" w:themeColor="text1"/>
              </w:rPr>
              <w:t>lg-s</w:t>
            </w:r>
            <w:proofErr w:type="spellEnd"/>
            <w:r>
              <w:rPr>
                <w:color w:val="000000" w:themeColor="text1"/>
              </w:rPr>
              <w:t xml:space="preserve"> 3 viidata ainult </w:t>
            </w:r>
            <w:r w:rsidRPr="003E6E91">
              <w:rPr>
                <w:rFonts w:eastAsia="Calibri" w:cs="Calibri"/>
                <w:iCs/>
              </w:rPr>
              <w:t>võlaõigusseaduse § 403⁴ lõike</w:t>
            </w:r>
            <w:r>
              <w:rPr>
                <w:rFonts w:eastAsia="Calibri" w:cs="Calibri"/>
                <w:iCs/>
              </w:rPr>
              <w:t>l</w:t>
            </w:r>
            <w:r w:rsidR="007D2C65">
              <w:rPr>
                <w:rFonts w:eastAsia="Calibri" w:cs="Calibri"/>
                <w:iCs/>
              </w:rPr>
              <w:t>e</w:t>
            </w:r>
            <w:r>
              <w:rPr>
                <w:rFonts w:eastAsia="Calibri" w:cs="Calibri"/>
                <w:iCs/>
              </w:rPr>
              <w:t xml:space="preserve"> 2, kuna nii </w:t>
            </w:r>
            <w:proofErr w:type="spellStart"/>
            <w:r>
              <w:rPr>
                <w:rFonts w:eastAsia="Calibri" w:cs="Calibri"/>
                <w:iCs/>
              </w:rPr>
              <w:t>VÕS-is</w:t>
            </w:r>
            <w:proofErr w:type="spellEnd"/>
            <w:r>
              <w:rPr>
                <w:rFonts w:eastAsia="Calibri" w:cs="Calibri"/>
                <w:iCs/>
              </w:rPr>
              <w:t xml:space="preserve"> kui ka </w:t>
            </w:r>
            <w:proofErr w:type="spellStart"/>
            <w:r>
              <w:rPr>
                <w:rFonts w:eastAsia="Calibri" w:cs="Calibri"/>
                <w:iCs/>
              </w:rPr>
              <w:t>KAVS-is</w:t>
            </w:r>
            <w:proofErr w:type="spellEnd"/>
            <w:r>
              <w:rPr>
                <w:rFonts w:eastAsia="Calibri" w:cs="Calibri"/>
                <w:iCs/>
              </w:rPr>
              <w:t xml:space="preserve"> esineb ka muid krediidivõime hindamise ja teabe kogumise </w:t>
            </w:r>
            <w:r>
              <w:rPr>
                <w:rFonts w:eastAsia="Calibri" w:cs="Calibri"/>
                <w:iCs/>
              </w:rPr>
              <w:lastRenderedPageBreak/>
              <w:t>nõudeid ning nendele tuleb viidata tervikuna</w:t>
            </w:r>
            <w:r w:rsidR="007D2C65">
              <w:rPr>
                <w:rFonts w:eastAsia="Calibri" w:cs="Calibri"/>
                <w:iCs/>
              </w:rPr>
              <w:t xml:space="preserve">. </w:t>
            </w:r>
            <w:r w:rsidR="00F92C12">
              <w:rPr>
                <w:rFonts w:eastAsia="Calibri" w:cs="Calibri"/>
                <w:iCs/>
              </w:rPr>
              <w:t>Teiseks</w:t>
            </w:r>
            <w:r w:rsidR="007D2C65">
              <w:rPr>
                <w:rFonts w:eastAsia="Calibri" w:cs="Calibri"/>
                <w:iCs/>
              </w:rPr>
              <w:t xml:space="preserve"> ei ole võimalik KAVS § 50 </w:t>
            </w:r>
            <w:proofErr w:type="spellStart"/>
            <w:r w:rsidR="007D2C65">
              <w:rPr>
                <w:rFonts w:eastAsia="Calibri" w:cs="Calibri"/>
                <w:iCs/>
              </w:rPr>
              <w:t>lg-s</w:t>
            </w:r>
            <w:proofErr w:type="spellEnd"/>
            <w:r w:rsidR="007D2C65">
              <w:rPr>
                <w:rFonts w:eastAsia="Calibri" w:cs="Calibri"/>
                <w:iCs/>
              </w:rPr>
              <w:t xml:space="preserve"> 3 eraldi sätestada kontrolli ulatust ja meetodeid, kuna selline sõnastus ei ole direktiivi </w:t>
            </w:r>
            <w:r w:rsidR="00A02EAA">
              <w:rPr>
                <w:rFonts w:eastAsia="Calibri" w:cs="Calibri"/>
                <w:iCs/>
              </w:rPr>
              <w:t>(</w:t>
            </w:r>
            <w:r w:rsidR="007D2C65">
              <w:rPr>
                <w:rFonts w:eastAsia="Calibri" w:cs="Calibri"/>
                <w:iCs/>
              </w:rPr>
              <w:t xml:space="preserve">EL) 2023/2225 artikli 18 lõike 3 teise lõiguga kooskõlas. Nagu aga eelnevalt mainitud, on seost VÕS  </w:t>
            </w:r>
            <w:r w:rsidR="007D2C65" w:rsidRPr="003E6E91">
              <w:rPr>
                <w:rFonts w:eastAsia="Calibri" w:cs="Calibri"/>
                <w:iCs/>
              </w:rPr>
              <w:t>§ 403⁴ lõike</w:t>
            </w:r>
            <w:r w:rsidR="007D2C65">
              <w:rPr>
                <w:rFonts w:eastAsia="Calibri" w:cs="Calibri"/>
                <w:iCs/>
              </w:rPr>
              <w:t xml:space="preserve">s 2 nimetatud </w:t>
            </w:r>
            <w:r w:rsidR="00D07C1C">
              <w:rPr>
                <w:rFonts w:eastAsia="Calibri" w:cs="Calibri"/>
                <w:iCs/>
              </w:rPr>
              <w:t xml:space="preserve">põhimõtetega rõhutatud eelnõu seletuskirjas. </w:t>
            </w:r>
            <w:r w:rsidR="00F92C12">
              <w:rPr>
                <w:rFonts w:eastAsia="Calibri" w:cs="Calibri"/>
                <w:iCs/>
              </w:rPr>
              <w:t xml:space="preserve">Kolmandaks ei kajasta sõnastusettepanek asjaolu, et teabe kontrollimisel tuleb vajaduse korral tugineda ka </w:t>
            </w:r>
            <w:r w:rsidR="00CD44CB">
              <w:rPr>
                <w:rFonts w:eastAsia="Calibri" w:cs="Calibri"/>
                <w:iCs/>
              </w:rPr>
              <w:t xml:space="preserve">iseseisvalt kättesaadavale teabele. </w:t>
            </w:r>
          </w:p>
        </w:tc>
      </w:tr>
      <w:tr w:rsidR="00D22FD2" w14:paraId="39986556" w14:textId="77777777" w:rsidTr="00617FBE">
        <w:tc>
          <w:tcPr>
            <w:tcW w:w="576" w:type="dxa"/>
          </w:tcPr>
          <w:p w14:paraId="7692C13F" w14:textId="50868313" w:rsidR="00683561" w:rsidRDefault="00E97DE2" w:rsidP="00683561">
            <w:pPr>
              <w:jc w:val="center"/>
            </w:pPr>
            <w:r>
              <w:lastRenderedPageBreak/>
              <w:t>30</w:t>
            </w:r>
          </w:p>
        </w:tc>
        <w:tc>
          <w:tcPr>
            <w:tcW w:w="5040" w:type="dxa"/>
          </w:tcPr>
          <w:p w14:paraId="35AFBBE2" w14:textId="6A8AF0EB" w:rsidR="00683561" w:rsidRPr="00072A6E" w:rsidRDefault="00683561" w:rsidP="00072A6E">
            <w:r w:rsidRPr="00CF53DB">
              <w:t>KAVS § 50</w:t>
            </w:r>
            <w:r w:rsidRPr="00CF53DB">
              <w:rPr>
                <w:vertAlign w:val="superscript"/>
              </w:rPr>
              <w:t>3</w:t>
            </w:r>
            <w:r w:rsidR="00072A6E">
              <w:rPr>
                <w:vertAlign w:val="superscript"/>
              </w:rPr>
              <w:t xml:space="preserve"> </w:t>
            </w:r>
            <w:r w:rsidR="00072A6E">
              <w:t>- k</w:t>
            </w:r>
            <w:r w:rsidRPr="00412371">
              <w:t xml:space="preserve">as seletuskirjas kirjeldatud objektiivsete kriteeriumite alla liigituvad ka näiteks krediidivõimelisuse hindamiseks andmebaasidele mitteligipääsetavus, tarbija esitatud andmete kontrollimise keerukus/võimatus ning piiriülese sissenõudemenetluse/täitemenetluse keerukus ja kallidus EL liikmesriikides? Kuna </w:t>
            </w:r>
            <w:proofErr w:type="spellStart"/>
            <w:r w:rsidRPr="00412371">
              <w:t>EL-s</w:t>
            </w:r>
            <w:proofErr w:type="spellEnd"/>
            <w:r w:rsidRPr="00412371">
              <w:t xml:space="preserve"> puudub struktuurne ülevaade liikmesriikide krediidivõimelisuse hindamise nõuetest ja liikmesriikide andmebaasidest, mida võiks kasutada, siis tõenäoliselt ei suuda ükski krediidiandja neid nõudeid vettpidavalt täita. Samuti puudub arusaam, kuidas võtta arvesse liikmesriikide majapidamiskulusid ja kontodel </w:t>
            </w:r>
            <w:r w:rsidRPr="00412371">
              <w:lastRenderedPageBreak/>
              <w:t xml:space="preserve">nähtuvaid kandeid. Samuti kuidas kontrollida esitatud tõendite ehtsust ja täita hoolsuskohustusi (sh AML). </w:t>
            </w:r>
          </w:p>
          <w:p w14:paraId="31C78DFE" w14:textId="77777777" w:rsidR="00683561" w:rsidRPr="00412371" w:rsidRDefault="00683561" w:rsidP="00683561">
            <w:pPr>
              <w:ind w:left="-5"/>
            </w:pPr>
            <w:r w:rsidRPr="00412371">
              <w:t xml:space="preserve"> </w:t>
            </w:r>
          </w:p>
          <w:p w14:paraId="770C7728" w14:textId="1AEE5218" w:rsidR="00683561" w:rsidRDefault="00683561" w:rsidP="00592DD3">
            <w:pPr>
              <w:ind w:left="-5"/>
            </w:pPr>
            <w:r w:rsidRPr="00412371">
              <w:t xml:space="preserve">Palume täiendada seletuskirja, et sättes öeldu ei piira krediidivõimelisuse riskipõhise hindamise läbiviimist ega krediidiandja õigust kujundada oma krediidipoliitikat objektiivsete ja proportsionaalsete riskikriteeriumide alusel. Elukoha või piiriülese olukorraga seotud erinev kohtlemine ei ole käsitatav diskrimineerimisena, kui see põhineb igakülgselt põhjendatud objektiivsetel kriteeriumidel, eelkõige andmete kättesaadavusel, nende usaldusväärsusel ning sundtäitmise teostatavusel ja hinnal. Samuti ei tohiks seda mõista nii, et see paneb krediidiandjatele kohustuse osutada teenuseid valdkondades või geograafilistes piirkondades, kus nad äritegevusega ei tegele. Täiendavalt sooviksime selgitust, kuidas on selle sätte kehtestamisel (sh direktiivis) hinnatud lepingu- ja ettevõtlusvabaduse riivet. </w:t>
            </w:r>
          </w:p>
        </w:tc>
        <w:tc>
          <w:tcPr>
            <w:tcW w:w="5016" w:type="dxa"/>
          </w:tcPr>
          <w:p w14:paraId="25517267" w14:textId="0EE59FD4" w:rsidR="00062261" w:rsidRDefault="00592DD3" w:rsidP="00062261">
            <w:pPr>
              <w:rPr>
                <w:b/>
                <w:bCs/>
              </w:rPr>
            </w:pPr>
            <w:r w:rsidRPr="00592DD3">
              <w:rPr>
                <w:b/>
                <w:bCs/>
              </w:rPr>
              <w:lastRenderedPageBreak/>
              <w:t xml:space="preserve">Selgitatud. </w:t>
            </w:r>
          </w:p>
          <w:p w14:paraId="0C5B968A" w14:textId="52173E65" w:rsidR="00177A2A" w:rsidRPr="00062261" w:rsidRDefault="00177A2A" w:rsidP="00062261">
            <w:pPr>
              <w:rPr>
                <w:b/>
                <w:bCs/>
              </w:rPr>
            </w:pPr>
            <w:r>
              <w:t>Eelnõuga loodav KAVS § 50</w:t>
            </w:r>
            <w:r w:rsidRPr="625AB841">
              <w:rPr>
                <w:vertAlign w:val="superscript"/>
              </w:rPr>
              <w:t>3</w:t>
            </w:r>
            <w:r>
              <w:t xml:space="preserve"> ei piira krediidivõimelisuse riskipõhise hindamise läbiviimist ega krediidiandja õigust kujundada enda krediidipoliitikat objektiivsete ja proportsionaalsete riskikriteeriumite alusel. </w:t>
            </w:r>
            <w:r w:rsidR="006467A6">
              <w:t>Ka KAVS §-s 50</w:t>
            </w:r>
            <w:r w:rsidR="006467A6">
              <w:rPr>
                <w:vertAlign w:val="superscript"/>
              </w:rPr>
              <w:t>3</w:t>
            </w:r>
            <w:r w:rsidR="006467A6">
              <w:t xml:space="preserve"> </w:t>
            </w:r>
            <w:r w:rsidR="008B017A">
              <w:t xml:space="preserve">ja vastavalt direktiivi (EL) 2023/2225 </w:t>
            </w:r>
            <w:r w:rsidR="006F78C5">
              <w:t xml:space="preserve">artikkel 6 </w:t>
            </w:r>
            <w:r w:rsidR="0015152A">
              <w:t xml:space="preserve">rõhutavad, et diskrimineerimise keeld ei piira võimalust pakkuda erinevaid krediidile juurdepääsu tingimusi, kui need erinevad tingimused on </w:t>
            </w:r>
            <w:r w:rsidR="00FC37AE">
              <w:t xml:space="preserve">igakülgselt põhjendatud </w:t>
            </w:r>
            <w:r w:rsidR="00A417EB">
              <w:t>objektiivsete kriteeriumitega</w:t>
            </w:r>
            <w:r w:rsidR="00FA072F">
              <w:t xml:space="preserve">. Küll aga ei ole võimalik seadusandlikul tasandil täpsustada või </w:t>
            </w:r>
            <w:r w:rsidR="00CC4D9F">
              <w:t xml:space="preserve">ilmestada, millised sellised objektiivsed kriteeriumid olla </w:t>
            </w:r>
            <w:r w:rsidR="00CC4D9F">
              <w:lastRenderedPageBreak/>
              <w:t xml:space="preserve">võiksid – ka Euroopa Komisjon on rõhutanud, et </w:t>
            </w:r>
            <w:r w:rsidR="0097294A">
              <w:t xml:space="preserve">direktiivi artikkel 6 on üldistele põhimõtetele tuginev </w:t>
            </w:r>
            <w:r w:rsidR="000F3098">
              <w:t xml:space="preserve">ja nõuab juhtumipõhist hinnangut võimaliku diskrimineerimise </w:t>
            </w:r>
            <w:r w:rsidR="001729FF">
              <w:t xml:space="preserve">esinemise osas. Sellest tulenevalt ei saa </w:t>
            </w:r>
            <w:r w:rsidR="00E7503D">
              <w:t xml:space="preserve">liikmesriigid </w:t>
            </w:r>
            <w:r w:rsidR="006100B3">
              <w:t xml:space="preserve">antud sätet siseriikliku õigusesse üle võttes esitada sätte kohaldamise osas täiendavaid üksikasju. </w:t>
            </w:r>
          </w:p>
          <w:p w14:paraId="344441AD" w14:textId="538747E8" w:rsidR="00EB4B60" w:rsidRDefault="00AF7C6D" w:rsidP="00127088">
            <w:pPr>
              <w:ind w:left="-5"/>
            </w:pPr>
            <w:r>
              <w:t xml:space="preserve">Kuna </w:t>
            </w:r>
            <w:r w:rsidR="00867496">
              <w:t>direktiivi artikkel 6 viitab otsesõnu ja tugine</w:t>
            </w:r>
            <w:r w:rsidR="07D80CD0">
              <w:t>b</w:t>
            </w:r>
            <w:r w:rsidR="00867496">
              <w:t xml:space="preserve"> Euroopa Liidu põhiõiguste harta ar</w:t>
            </w:r>
            <w:r w:rsidR="00762ADB">
              <w:t xml:space="preserve">tiklile 21, ei hinnatud direktiivi koostamisel eelnõu autoritele teadaolevat eraldi </w:t>
            </w:r>
            <w:r w:rsidR="00762ADB" w:rsidRPr="00412371">
              <w:t>lepingu- ja ettevõtlusvabaduse riivet.</w:t>
            </w:r>
            <w:r w:rsidR="00762ADB">
              <w:t xml:space="preserve"> </w:t>
            </w:r>
            <w:r w:rsidR="00850F0A">
              <w:t xml:space="preserve">Sellel samal põhjusel </w:t>
            </w:r>
            <w:r w:rsidR="004D36A7">
              <w:t xml:space="preserve">(ehk kuna </w:t>
            </w:r>
            <w:r w:rsidR="0021011F">
              <w:t xml:space="preserve">harta kehtib juba praegu nii või teisiti) </w:t>
            </w:r>
            <w:r w:rsidR="00127088">
              <w:t xml:space="preserve">saab aga eelnõuga loodava regulatsiooni praktiline mõju ilmselt olema üsna väike ja tõenäoliselt ei pea seetõttu ka krediidiandjad võrreldes kehtiva olukorraga enda tegevust sisuliselt muutma.   </w:t>
            </w:r>
          </w:p>
        </w:tc>
      </w:tr>
      <w:tr w:rsidR="00D22FD2" w14:paraId="55AC0381" w14:textId="77777777" w:rsidTr="00617FBE">
        <w:tc>
          <w:tcPr>
            <w:tcW w:w="576" w:type="dxa"/>
          </w:tcPr>
          <w:p w14:paraId="267465C4" w14:textId="6016F344" w:rsidR="00683561" w:rsidRDefault="00E97DE2" w:rsidP="00683561">
            <w:pPr>
              <w:jc w:val="center"/>
            </w:pPr>
            <w:r>
              <w:lastRenderedPageBreak/>
              <w:t>31</w:t>
            </w:r>
          </w:p>
        </w:tc>
        <w:tc>
          <w:tcPr>
            <w:tcW w:w="5040" w:type="dxa"/>
          </w:tcPr>
          <w:p w14:paraId="5A70DBA8" w14:textId="227E2378" w:rsidR="00683561" w:rsidRDefault="00683561" w:rsidP="00072A6E">
            <w:r w:rsidRPr="00552548">
              <w:t xml:space="preserve">KAVS § 51 lõige 9 </w:t>
            </w:r>
            <w:r w:rsidR="00072A6E">
              <w:t>- p</w:t>
            </w:r>
            <w:r w:rsidRPr="00412371">
              <w:t xml:space="preserve">alume selgitada, millal tuleks hoiatus riskidest tarbijale anda. Kas vaid nõustamisteenuse osana või ka muul juhul, kui nõustamisteenust ei osutata? </w:t>
            </w:r>
          </w:p>
        </w:tc>
        <w:tc>
          <w:tcPr>
            <w:tcW w:w="5016" w:type="dxa"/>
          </w:tcPr>
          <w:p w14:paraId="3FAD6084" w14:textId="4F6731FE" w:rsidR="003B0147" w:rsidRDefault="003B0147" w:rsidP="003B0147">
            <w:pPr>
              <w:rPr>
                <w:b/>
                <w:bCs/>
              </w:rPr>
            </w:pPr>
            <w:r w:rsidRPr="003B0147">
              <w:rPr>
                <w:b/>
                <w:bCs/>
              </w:rPr>
              <w:t xml:space="preserve">Selgitatud. </w:t>
            </w:r>
          </w:p>
          <w:p w14:paraId="36A79280" w14:textId="76A5391B" w:rsidR="004F4CF9" w:rsidRDefault="003B0147" w:rsidP="00352715">
            <w:r>
              <w:t xml:space="preserve">Eelnõu seletuskirja on lisatud täpsustus, et kuna </w:t>
            </w:r>
            <w:r w:rsidR="00352715">
              <w:t xml:space="preserve">tegemist on nõustamisteenuse osutajale kohalduva kohustusega, tuleks nimetatud teave anda nõustamisteenuse osana. </w:t>
            </w:r>
          </w:p>
        </w:tc>
      </w:tr>
      <w:tr w:rsidR="00D22FD2" w14:paraId="4B29B5AA" w14:textId="77777777" w:rsidTr="00617FBE">
        <w:tc>
          <w:tcPr>
            <w:tcW w:w="576" w:type="dxa"/>
          </w:tcPr>
          <w:p w14:paraId="430F3EE2" w14:textId="1FF0C825" w:rsidR="00683561" w:rsidRDefault="00E97DE2" w:rsidP="00683561">
            <w:pPr>
              <w:jc w:val="center"/>
            </w:pPr>
            <w:r>
              <w:t>32</w:t>
            </w:r>
          </w:p>
        </w:tc>
        <w:tc>
          <w:tcPr>
            <w:tcW w:w="5040" w:type="dxa"/>
          </w:tcPr>
          <w:p w14:paraId="3AEC47D5" w14:textId="4612A34B" w:rsidR="00683561" w:rsidRDefault="00683561" w:rsidP="00683561">
            <w:r w:rsidRPr="003C039B">
              <w:t>KAVS § 53</w:t>
            </w:r>
            <w:r w:rsidRPr="003C039B">
              <w:rPr>
                <w:vertAlign w:val="superscript"/>
              </w:rPr>
              <w:t>1</w:t>
            </w:r>
            <w:r w:rsidRPr="003C039B">
              <w:t xml:space="preserve"> lõige 1 </w:t>
            </w:r>
            <w:r w:rsidR="00352715">
              <w:t xml:space="preserve"> - k</w:t>
            </w:r>
            <w:r w:rsidRPr="00412371">
              <w:t xml:space="preserve">una elamukinnisvaraga seotud krediidilepingu korral ei peaks tarbija saama valida, mis kujul talle üldine teave tuleb esitada, palume lisada vastav välistus, et tarbija valik ei kohaldu elamukinnisvaraga seotud krediidilepingute korral. </w:t>
            </w:r>
          </w:p>
        </w:tc>
        <w:tc>
          <w:tcPr>
            <w:tcW w:w="5016" w:type="dxa"/>
          </w:tcPr>
          <w:p w14:paraId="69F156A3" w14:textId="14D0A5A7" w:rsidR="00352715" w:rsidRPr="00DD555C" w:rsidRDefault="006D2BCC" w:rsidP="00352715">
            <w:pPr>
              <w:rPr>
                <w:b/>
                <w:bCs/>
              </w:rPr>
            </w:pPr>
            <w:r w:rsidRPr="00DD555C">
              <w:rPr>
                <w:b/>
                <w:bCs/>
              </w:rPr>
              <w:t xml:space="preserve">Arvestatud. </w:t>
            </w:r>
          </w:p>
          <w:p w14:paraId="158C8728" w14:textId="406BE99F" w:rsidR="00347356" w:rsidRDefault="006D2BCC" w:rsidP="00DD555C">
            <w:r>
              <w:t xml:space="preserve">Eelnõud ja seletuskirja on vastavalt märkusele täiendatud. </w:t>
            </w:r>
          </w:p>
        </w:tc>
      </w:tr>
      <w:tr w:rsidR="00D22FD2" w14:paraId="1020F92D" w14:textId="77777777" w:rsidTr="00617FBE">
        <w:tc>
          <w:tcPr>
            <w:tcW w:w="576" w:type="dxa"/>
          </w:tcPr>
          <w:p w14:paraId="1A2B1413" w14:textId="0C5E137B" w:rsidR="00683561" w:rsidRDefault="00E97DE2" w:rsidP="00683561">
            <w:pPr>
              <w:jc w:val="center"/>
            </w:pPr>
            <w:r>
              <w:t>33</w:t>
            </w:r>
          </w:p>
        </w:tc>
        <w:tc>
          <w:tcPr>
            <w:tcW w:w="5040" w:type="dxa"/>
          </w:tcPr>
          <w:p w14:paraId="21AF60F8" w14:textId="5FFE5358" w:rsidR="00683561" w:rsidRPr="00796A47" w:rsidRDefault="00683561" w:rsidP="002732F9">
            <w:r w:rsidRPr="00796A47">
              <w:t>KAVS § 53</w:t>
            </w:r>
            <w:r w:rsidRPr="00796A47">
              <w:rPr>
                <w:vertAlign w:val="superscript"/>
              </w:rPr>
              <w:t>1</w:t>
            </w:r>
            <w:r w:rsidRPr="00796A47">
              <w:t xml:space="preserve"> lõike 2 punkt 11</w:t>
            </w:r>
            <w:r w:rsidRPr="00796A47">
              <w:rPr>
                <w:vertAlign w:val="superscript"/>
              </w:rPr>
              <w:t>1</w:t>
            </w:r>
            <w:r w:rsidRPr="00796A47">
              <w:t xml:space="preserve"> </w:t>
            </w:r>
            <w:r w:rsidR="00796A47">
              <w:t xml:space="preserve"> - k</w:t>
            </w:r>
            <w:r w:rsidRPr="00796A47">
              <w:t>as kirjelduses tuleb anda selgitused ka taganemisnupu kohta juhul, kui leping on sõlmitud internetipõhise kasutajaliidese abil? Lätis ja Leedus on näiteks direktiivide ülevõtmisel kujundatud arusaam, et taganemisnupu regulatsioon ei rakendu tarbijakrediidile, sest CCD II ja MCD näevad tarbija taganemisõiguse osas ette erinormid, mis ei sisalda taganemisnupu regulatsiooni.</w:t>
            </w:r>
            <w:r w:rsidRPr="00412371">
              <w:t xml:space="preserve"> </w:t>
            </w:r>
          </w:p>
          <w:p w14:paraId="01ADE42A" w14:textId="77777777" w:rsidR="00683561" w:rsidRDefault="00683561" w:rsidP="00683561"/>
        </w:tc>
        <w:tc>
          <w:tcPr>
            <w:tcW w:w="5016" w:type="dxa"/>
          </w:tcPr>
          <w:p w14:paraId="7FA75254" w14:textId="502F4CEF" w:rsidR="00DD555C" w:rsidRDefault="002732F9" w:rsidP="00DD555C">
            <w:pPr>
              <w:rPr>
                <w:b/>
                <w:bCs/>
              </w:rPr>
            </w:pPr>
            <w:r w:rsidRPr="002732F9">
              <w:rPr>
                <w:b/>
                <w:bCs/>
              </w:rPr>
              <w:t xml:space="preserve">Selgitatud. </w:t>
            </w:r>
          </w:p>
          <w:p w14:paraId="268DAF03" w14:textId="5C2CA09D" w:rsidR="001813AC" w:rsidRPr="001813AC" w:rsidRDefault="002732F9" w:rsidP="001813AC">
            <w:r>
              <w:t xml:space="preserve">Taganemisnupu regulatsioon kohaldub ka tarbijakrediidi regulatsioonile. </w:t>
            </w:r>
            <w:r w:rsidR="005A05CA">
              <w:t>Võlaõigusseaduse ja tarbijakaitseseaduse muutmise seaduse eelnõu (</w:t>
            </w:r>
            <w:r w:rsidR="001813AC">
              <w:t xml:space="preserve">796 SE, finantsteenuste </w:t>
            </w:r>
            <w:proofErr w:type="spellStart"/>
            <w:r w:rsidR="001813AC">
              <w:t>kaugturustamise</w:t>
            </w:r>
            <w:proofErr w:type="spellEnd"/>
            <w:r w:rsidR="001813AC">
              <w:t xml:space="preserve"> direktiivi ülevõtmise eelnõu) seletuskirjas on selgitatud, et </w:t>
            </w:r>
            <w:r w:rsidR="003642A5">
              <w:t>t</w:t>
            </w:r>
            <w:r w:rsidR="001813AC" w:rsidRPr="001813AC">
              <w:t>aganemisnupu regulatsiooni rakendusala määrab direktiivi</w:t>
            </w:r>
            <w:r w:rsidR="00C83320">
              <w:t xml:space="preserve"> (EL) 2023/</w:t>
            </w:r>
            <w:r w:rsidR="00410705">
              <w:t>267</w:t>
            </w:r>
            <w:r w:rsidR="00DB3B7F">
              <w:t>3</w:t>
            </w:r>
            <w:r w:rsidR="001813AC" w:rsidRPr="001813AC">
              <w:t xml:space="preserve"> art 1 punkt 3, millega lisatakse tarbija õiguste direktiivi art 11a. Seega kohaldub taganemisnupu regulatsioon kõikidele tarbija õiguste direktiivi kohaldamisalasse jäävatele lepingutele, mis on sõlmitud internetipõhise kasutajaliidese vahendusel. Taganemisnupu regulatsioon kohaldub muu hulgas internetipõhise kasutajaliidese vahendusel sõlmitud finantsteenuste </w:t>
            </w:r>
            <w:proofErr w:type="spellStart"/>
            <w:r w:rsidR="001813AC" w:rsidRPr="001813AC">
              <w:t>kauglepingutele</w:t>
            </w:r>
            <w:proofErr w:type="spellEnd"/>
            <w:r w:rsidR="001813AC" w:rsidRPr="001813AC">
              <w:t xml:space="preserve">, kuivõrd uue </w:t>
            </w:r>
            <w:r w:rsidR="001813AC" w:rsidRPr="001813AC">
              <w:lastRenderedPageBreak/>
              <w:t xml:space="preserve">direktiivi art 1 punkti 1 alapunkt a sätestab, et ettevõtja ja tarbija vahelistele finantsteenuste osutamiseks sõlmitud </w:t>
            </w:r>
            <w:proofErr w:type="spellStart"/>
            <w:r w:rsidR="001813AC" w:rsidRPr="001813AC">
              <w:t>kauglepingutele</w:t>
            </w:r>
            <w:proofErr w:type="spellEnd"/>
            <w:r w:rsidR="001813AC" w:rsidRPr="001813AC">
              <w:t xml:space="preserve"> kohaldatakse taganemisnupu regulatsiooni ette nägevat artiklit 11a. Et valdkondlikud õigusaktid, nt tarbijakrediidi direktiiv või </w:t>
            </w:r>
            <w:proofErr w:type="spellStart"/>
            <w:r w:rsidR="001813AC" w:rsidRPr="001813AC">
              <w:t>Solventsus</w:t>
            </w:r>
            <w:proofErr w:type="spellEnd"/>
            <w:r w:rsidR="001813AC" w:rsidRPr="001813AC">
              <w:t xml:space="preserve"> II direktiiv, taganemisnupu teemat ei reguleeri (st need ei kohusta ettevõtjat pakkuma tarbijale võimalust taganeda lepingust taganemisnupu abil), ei välista taganemisnupu regulatsiooni kohaldumist neile lepingutele ka ülevõetava direktiivi art 16a lõige 10, mis näeb ette valdkondlike</w:t>
            </w:r>
            <w:r w:rsidR="00DB3B7F">
              <w:t xml:space="preserve"> </w:t>
            </w:r>
            <w:r w:rsidR="00DB3B7F" w:rsidRPr="00DB3B7F">
              <w:t xml:space="preserve">Euroopa Liidu õigusaktide reeglite prioriteedi. </w:t>
            </w:r>
            <w:r w:rsidR="00DB3B7F" w:rsidRPr="00C35BCB">
              <w:rPr>
                <w:b/>
                <w:bCs/>
              </w:rPr>
              <w:t>Seega peavad ettevõtjad edaspidi taganemisnupu olemasolu garanteerima ka nt internetipõhise kasutajaliidese vahendusel sõlmitud tarbijakrediidi- ja elukindlustuslepingute puhul.</w:t>
            </w:r>
            <w:r w:rsidR="006E2DB3" w:rsidRPr="00C35BCB">
              <w:rPr>
                <w:rStyle w:val="Allmrkuseviide"/>
              </w:rPr>
              <w:footnoteReference w:id="1"/>
            </w:r>
          </w:p>
          <w:p w14:paraId="4B991F0C" w14:textId="2569061A" w:rsidR="00B370D9" w:rsidRDefault="003F02B4" w:rsidP="00B370D9">
            <w:r>
              <w:t xml:space="preserve">Direktiiv (EL) 2023/2225 ei täpsusta, milline peab olema artikli 9 </w:t>
            </w:r>
            <w:r w:rsidR="004039DB">
              <w:t xml:space="preserve">lg 2 alapunktis i nimetatud taganemisõiguse </w:t>
            </w:r>
            <w:r w:rsidR="00B00E09">
              <w:t>kirjeldus</w:t>
            </w:r>
            <w:r w:rsidR="00F5151A">
              <w:t xml:space="preserve">. Eelnõu autorid leiavad, et </w:t>
            </w:r>
            <w:r w:rsidR="00B370D9">
              <w:t xml:space="preserve">sätte eesmärk on </w:t>
            </w:r>
            <w:r w:rsidR="00B34261">
              <w:t xml:space="preserve">anda tarbijale ülevaade sellest, mis tingimustel ta lepingust taganeda saab. Mõistlik on sinna lisada ka kirjeldus taganemisnupu kohta, kuivõrd sellisel juhul on tarbijad taganemisnupust teadlikud ja teavad lepingust taganeda õiget tehnilist lahendust kasutades. </w:t>
            </w:r>
          </w:p>
          <w:p w14:paraId="0716C8C6" w14:textId="042D3C94" w:rsidR="009E25E9" w:rsidRDefault="00B34261" w:rsidP="00380CA2">
            <w:r>
              <w:t>Eelnõu seletuskirja on vastavate selgitustega</w:t>
            </w:r>
            <w:r w:rsidR="007C20FB">
              <w:t xml:space="preserve"> täiendatud. </w:t>
            </w:r>
            <w:r>
              <w:t xml:space="preserve"> </w:t>
            </w:r>
          </w:p>
        </w:tc>
      </w:tr>
      <w:tr w:rsidR="002A6C9D" w14:paraId="02ECDD68" w14:textId="77777777" w:rsidTr="00617FBE">
        <w:tc>
          <w:tcPr>
            <w:tcW w:w="10632" w:type="dxa"/>
            <w:gridSpan w:val="3"/>
          </w:tcPr>
          <w:p w14:paraId="68543E74" w14:textId="32BC8548" w:rsidR="00BF06FE" w:rsidRPr="00412371" w:rsidRDefault="00E97DE2" w:rsidP="00BF06FE">
            <w:r>
              <w:lastRenderedPageBreak/>
              <w:t>Isikuandmete kaitse seadus</w:t>
            </w:r>
          </w:p>
        </w:tc>
      </w:tr>
      <w:tr w:rsidR="00D22FD2" w14:paraId="7656F7D2" w14:textId="77777777" w:rsidTr="00617FBE">
        <w:tc>
          <w:tcPr>
            <w:tcW w:w="576" w:type="dxa"/>
          </w:tcPr>
          <w:p w14:paraId="34A4A035" w14:textId="7A16FAEC" w:rsidR="00BF06FE" w:rsidRDefault="00E97DE2" w:rsidP="000179B5">
            <w:pPr>
              <w:jc w:val="center"/>
            </w:pPr>
            <w:r>
              <w:t>34</w:t>
            </w:r>
          </w:p>
        </w:tc>
        <w:tc>
          <w:tcPr>
            <w:tcW w:w="5040" w:type="dxa"/>
          </w:tcPr>
          <w:p w14:paraId="2AA2E639" w14:textId="285CCDD6" w:rsidR="00BF06FE" w:rsidRPr="00412371" w:rsidRDefault="004362B0" w:rsidP="000179B5">
            <w:pPr>
              <w:pStyle w:val="Pealkiri3"/>
              <w:spacing w:before="0" w:after="0"/>
              <w:ind w:left="-40" w:firstLine="40"/>
              <w:rPr>
                <w:rFonts w:cs="Times New Roman"/>
                <w:color w:val="auto"/>
                <w:sz w:val="24"/>
                <w:szCs w:val="24"/>
              </w:rPr>
            </w:pPr>
            <w:r w:rsidRPr="004362B0">
              <w:rPr>
                <w:rFonts w:cs="Times New Roman"/>
                <w:color w:val="auto"/>
                <w:sz w:val="24"/>
                <w:szCs w:val="24"/>
              </w:rPr>
              <w:t>IKS § 10</w:t>
            </w:r>
            <w:r w:rsidRPr="004362B0">
              <w:rPr>
                <w:rFonts w:cs="Times New Roman"/>
                <w:color w:val="auto"/>
                <w:sz w:val="24"/>
                <w:szCs w:val="24"/>
                <w:vertAlign w:val="superscript"/>
              </w:rPr>
              <w:t>1</w:t>
            </w:r>
            <w:r w:rsidRPr="004362B0">
              <w:rPr>
                <w:rFonts w:cs="Times New Roman"/>
                <w:color w:val="auto"/>
                <w:sz w:val="24"/>
                <w:szCs w:val="24"/>
              </w:rPr>
              <w:t xml:space="preserve"> lg 2 - nõuete täitmise tagamise kohustus on suunatud liikmesriikidele, mitte andmebaasi(registri) pidajatele. Tarbijakrediidi direktiiv näeb seda ette regulatiivse/järelevalvefunktsioonina, mitte lepingulise „juurdepääsu kontrolli" funktsioonina, mis on delegeeritud eraõiguslikule isikule.</w:t>
            </w:r>
          </w:p>
        </w:tc>
        <w:tc>
          <w:tcPr>
            <w:tcW w:w="5016" w:type="dxa"/>
          </w:tcPr>
          <w:p w14:paraId="45E4AB61" w14:textId="77777777" w:rsidR="00BF06FE" w:rsidRPr="00171521" w:rsidRDefault="00171521" w:rsidP="000179B5">
            <w:pPr>
              <w:ind w:left="-5"/>
              <w:rPr>
                <w:b/>
                <w:bCs/>
              </w:rPr>
            </w:pPr>
            <w:r w:rsidRPr="00171521">
              <w:rPr>
                <w:b/>
                <w:bCs/>
              </w:rPr>
              <w:t>Arvestatud.</w:t>
            </w:r>
          </w:p>
          <w:p w14:paraId="4666F1CC" w14:textId="3CC70AB4" w:rsidR="00171521" w:rsidRPr="00412371" w:rsidRDefault="00A66971" w:rsidP="000179B5">
            <w:pPr>
              <w:ind w:left="-5"/>
            </w:pPr>
            <w:r>
              <w:t xml:space="preserve">Registripidaja ei pea teostama sisulist kontrolli selle üle, kas ligipääsu taotlev krediidiandja andmekaitsealaseid nõudeid järgib või mitte. Küll aga on registripidajal õigus lõpetada või peatada krediidiandja ligipääs registrile, kui Andmekaitse Inspektsioon </w:t>
            </w:r>
            <w:r w:rsidR="00B51407">
              <w:t xml:space="preserve">keelab ettekirjutisega isikuandmete töötlemise või tuvastab raske rikkumise. Pikem selgitus vastava registrile ligipääsu saamise </w:t>
            </w:r>
            <w:r w:rsidR="009F3DF6">
              <w:t xml:space="preserve">eelduse kohta on lisatud eelnõu seletuskirja. </w:t>
            </w:r>
          </w:p>
        </w:tc>
      </w:tr>
      <w:tr w:rsidR="00D22FD2" w14:paraId="01D26788" w14:textId="77777777" w:rsidTr="00617FBE">
        <w:tc>
          <w:tcPr>
            <w:tcW w:w="576" w:type="dxa"/>
          </w:tcPr>
          <w:p w14:paraId="13C2F616" w14:textId="1B960438" w:rsidR="00971E8A" w:rsidRDefault="00E97DE2" w:rsidP="000179B5">
            <w:pPr>
              <w:jc w:val="center"/>
            </w:pPr>
            <w:r>
              <w:lastRenderedPageBreak/>
              <w:t>35</w:t>
            </w:r>
          </w:p>
        </w:tc>
        <w:tc>
          <w:tcPr>
            <w:tcW w:w="5040" w:type="dxa"/>
          </w:tcPr>
          <w:p w14:paraId="39675860" w14:textId="62B02D18" w:rsidR="00971E8A" w:rsidRPr="004362B0" w:rsidRDefault="00212482" w:rsidP="000179B5">
            <w:pPr>
              <w:pStyle w:val="Pealkiri3"/>
              <w:spacing w:before="0" w:after="0"/>
              <w:ind w:left="-40" w:firstLine="40"/>
              <w:rPr>
                <w:rFonts w:cs="Times New Roman"/>
                <w:color w:val="auto"/>
                <w:sz w:val="24"/>
                <w:szCs w:val="24"/>
              </w:rPr>
            </w:pPr>
            <w:r>
              <w:rPr>
                <w:rFonts w:cs="Times New Roman"/>
                <w:color w:val="auto"/>
                <w:sz w:val="24"/>
                <w:szCs w:val="24"/>
              </w:rPr>
              <w:t xml:space="preserve">IKS </w:t>
            </w:r>
            <w:r w:rsidR="00971E8A" w:rsidRPr="00971E8A">
              <w:rPr>
                <w:rFonts w:cs="Times New Roman"/>
                <w:color w:val="auto"/>
                <w:sz w:val="24"/>
                <w:szCs w:val="24"/>
              </w:rPr>
              <w:t>§ 10</w:t>
            </w:r>
            <w:r w:rsidR="00971E8A">
              <w:rPr>
                <w:rFonts w:cs="Times New Roman"/>
                <w:color w:val="auto"/>
                <w:sz w:val="24"/>
                <w:szCs w:val="24"/>
                <w:vertAlign w:val="superscript"/>
              </w:rPr>
              <w:t>1</w:t>
            </w:r>
            <w:r w:rsidR="00971E8A" w:rsidRPr="00971E8A">
              <w:rPr>
                <w:rFonts w:cs="Times New Roman"/>
                <w:color w:val="auto"/>
                <w:sz w:val="24"/>
                <w:szCs w:val="24"/>
              </w:rPr>
              <w:t xml:space="preserve"> lg 4 – tarbijakrediidi direktiiv ei sätesta nõuet kuvada maksehäireid selliselt, et oleks eristatud põhinõue ja kõrvalnõuded. Samuti on andmete pidev edastamine tehniliselt keeruline. Lisatud nõue ei ole vajalik, sest andmesubjekti huvide kaalumise aspektist on eelkõige olulised kogunõude suurus ja võlgnevuse ajaline pikkus. Võlgnevuse avaldamine eraldiseisvate komponentidena ei täida ka maksehäireregistri eesmärki, milleks on anda infot võlgnevuste/võlglaste kohta selleks, et krediidiandjatel oleks võimalik täita kohustust järgida vastutustundliku laenamise põhimõtet ning võtta krediidivõimelisuse hindamisel arvesse varasemat maksekohustuste täitmise korrektsust (maksekäitumist).</w:t>
            </w:r>
          </w:p>
        </w:tc>
        <w:tc>
          <w:tcPr>
            <w:tcW w:w="5016" w:type="dxa"/>
          </w:tcPr>
          <w:p w14:paraId="28AD69C9" w14:textId="481B8423" w:rsidR="000A7E00" w:rsidRPr="000A7E00" w:rsidRDefault="000A7E00" w:rsidP="006E60DD">
            <w:pPr>
              <w:ind w:left="-5"/>
              <w:rPr>
                <w:b/>
                <w:bCs/>
              </w:rPr>
            </w:pPr>
            <w:r w:rsidRPr="000A7E00">
              <w:rPr>
                <w:b/>
                <w:bCs/>
              </w:rPr>
              <w:t xml:space="preserve">Arvestatud. </w:t>
            </w:r>
          </w:p>
          <w:p w14:paraId="4CB61F0F" w14:textId="02B9B700" w:rsidR="00B06241" w:rsidRPr="00412371" w:rsidRDefault="0025525A" w:rsidP="006E60DD">
            <w:pPr>
              <w:ind w:left="-5"/>
            </w:pPr>
            <w:r>
              <w:t>Eelnõud ja seletuskirja on muudetud selliselt, et makseh</w:t>
            </w:r>
            <w:r w:rsidR="00F72C9A">
              <w:t>äir</w:t>
            </w:r>
            <w:r w:rsidR="000A7E00">
              <w:t xml:space="preserve">e kajastamisel </w:t>
            </w:r>
            <w:r w:rsidR="00F72C9A">
              <w:t>ei pea eristama põhi- ja kõrvalnõudeid</w:t>
            </w:r>
            <w:r w:rsidR="00DB2A30" w:rsidRPr="00DB2A30">
              <w:t>.</w:t>
            </w:r>
            <w:r w:rsidR="00393EFB">
              <w:t xml:space="preserve"> Küll aga andmetöötlusel IKS § 10 alusel tuleb järgida AKI maksehäirete avaldamise juhist, sh eristama põhi- ja kõrvalnõudeid. </w:t>
            </w:r>
          </w:p>
        </w:tc>
      </w:tr>
      <w:tr w:rsidR="002A6C9D" w14:paraId="1DB623A1" w14:textId="77777777" w:rsidTr="00617FBE">
        <w:tc>
          <w:tcPr>
            <w:tcW w:w="10632" w:type="dxa"/>
            <w:gridSpan w:val="3"/>
          </w:tcPr>
          <w:p w14:paraId="2F95B7BA" w14:textId="18C23FF9" w:rsidR="00971E8A" w:rsidRPr="00412371" w:rsidRDefault="00E97DE2" w:rsidP="000179B5">
            <w:pPr>
              <w:ind w:left="-5"/>
            </w:pPr>
            <w:r>
              <w:t>Reklaamiseadus</w:t>
            </w:r>
          </w:p>
        </w:tc>
      </w:tr>
      <w:tr w:rsidR="00D22FD2" w14:paraId="531D6AEE" w14:textId="77777777" w:rsidTr="00617FBE">
        <w:tc>
          <w:tcPr>
            <w:tcW w:w="576" w:type="dxa"/>
          </w:tcPr>
          <w:p w14:paraId="57A8E4A6" w14:textId="76411E60" w:rsidR="00971E8A" w:rsidRDefault="00E97DE2" w:rsidP="000179B5">
            <w:pPr>
              <w:jc w:val="center"/>
            </w:pPr>
            <w:r>
              <w:t>36</w:t>
            </w:r>
          </w:p>
        </w:tc>
        <w:tc>
          <w:tcPr>
            <w:tcW w:w="5040" w:type="dxa"/>
          </w:tcPr>
          <w:p w14:paraId="055897BD" w14:textId="16319F83" w:rsidR="00971E8A" w:rsidRPr="00412371" w:rsidRDefault="00D52A8D" w:rsidP="000179B5">
            <w:pPr>
              <w:pStyle w:val="Pealkiri3"/>
              <w:spacing w:before="0" w:after="0"/>
              <w:ind w:left="-40" w:firstLine="40"/>
              <w:rPr>
                <w:rFonts w:cs="Times New Roman"/>
                <w:color w:val="auto"/>
                <w:sz w:val="24"/>
                <w:szCs w:val="24"/>
              </w:rPr>
            </w:pPr>
            <w:proofErr w:type="spellStart"/>
            <w:r w:rsidRPr="00D52A8D">
              <w:rPr>
                <w:rFonts w:cs="Times New Roman"/>
                <w:color w:val="auto"/>
                <w:sz w:val="24"/>
                <w:szCs w:val="24"/>
              </w:rPr>
              <w:t>RekS</w:t>
            </w:r>
            <w:proofErr w:type="spellEnd"/>
            <w:r w:rsidRPr="00D52A8D">
              <w:rPr>
                <w:rFonts w:cs="Times New Roman"/>
                <w:color w:val="auto"/>
                <w:sz w:val="24"/>
                <w:szCs w:val="24"/>
              </w:rPr>
              <w:t xml:space="preserve"> § 29 üldiselt</w:t>
            </w:r>
            <w:r>
              <w:rPr>
                <w:rFonts w:cs="Times New Roman"/>
                <w:color w:val="auto"/>
                <w:sz w:val="24"/>
                <w:szCs w:val="24"/>
              </w:rPr>
              <w:t xml:space="preserve"> - </w:t>
            </w:r>
            <w:r w:rsidR="00D770F5">
              <w:rPr>
                <w:rFonts w:cs="Times New Roman"/>
                <w:color w:val="auto"/>
                <w:sz w:val="24"/>
                <w:szCs w:val="24"/>
              </w:rPr>
              <w:t>m</w:t>
            </w:r>
            <w:r w:rsidR="00D770F5" w:rsidRPr="00D770F5">
              <w:rPr>
                <w:rFonts w:cs="Times New Roman"/>
                <w:color w:val="auto"/>
                <w:sz w:val="24"/>
                <w:szCs w:val="24"/>
              </w:rPr>
              <w:t>õistame vajadust direktiivi artikli 8 ülevõtmiseks, kuid juhime teie tähelepanu, et turuosalised on viimase 3-4 aasta jooksul aktiivselt osalenud reklaamiseaduse (</w:t>
            </w:r>
            <w:proofErr w:type="spellStart"/>
            <w:r w:rsidR="00D770F5" w:rsidRPr="00D770F5">
              <w:rPr>
                <w:rFonts w:cs="Times New Roman"/>
                <w:color w:val="auto"/>
                <w:sz w:val="24"/>
                <w:szCs w:val="24"/>
              </w:rPr>
              <w:t>RekS</w:t>
            </w:r>
            <w:proofErr w:type="spellEnd"/>
            <w:r w:rsidR="00D770F5" w:rsidRPr="00D770F5">
              <w:rPr>
                <w:rFonts w:cs="Times New Roman"/>
                <w:color w:val="auto"/>
                <w:sz w:val="24"/>
                <w:szCs w:val="24"/>
              </w:rPr>
              <w:t xml:space="preserve">) aruteludes ning andnud korduvalt sisulist tagasisidet kehtiva regulatsiooni probleemkohtadele. Meie selge ootus on, et reklaamiseadusele lahenetakse terviklikult, mitte üksnes direktiivi ülevõtmise raames. Kehtiv regulatsioon on ajale jalgu jäänud, see on killustunud, raskesti rakendatav ning kohati </w:t>
            </w:r>
            <w:proofErr w:type="spellStart"/>
            <w:r w:rsidR="00D770F5" w:rsidRPr="00D770F5">
              <w:rPr>
                <w:rFonts w:cs="Times New Roman"/>
                <w:color w:val="auto"/>
                <w:sz w:val="24"/>
                <w:szCs w:val="24"/>
              </w:rPr>
              <w:t>ülereguleeriv</w:t>
            </w:r>
            <w:proofErr w:type="spellEnd"/>
            <w:r w:rsidR="00D770F5" w:rsidRPr="00D770F5">
              <w:rPr>
                <w:rFonts w:cs="Times New Roman"/>
                <w:color w:val="auto"/>
                <w:sz w:val="24"/>
                <w:szCs w:val="24"/>
              </w:rPr>
              <w:t>. Uute piirangute lisamine ilma olemasolevat raamistikku tervikuna üle vaatamata ei paranda regulatsiooni kvaliteeti, vaid suurendab õigusselgusetust ja halduskoormust.</w:t>
            </w:r>
          </w:p>
        </w:tc>
        <w:tc>
          <w:tcPr>
            <w:tcW w:w="5016" w:type="dxa"/>
          </w:tcPr>
          <w:p w14:paraId="4F1EF1AC" w14:textId="77777777" w:rsidR="00004E8A" w:rsidRDefault="00CE3D2B" w:rsidP="00990046">
            <w:pPr>
              <w:ind w:left="-5"/>
              <w:rPr>
                <w:b/>
                <w:bCs/>
              </w:rPr>
            </w:pPr>
            <w:r w:rsidRPr="00CE3D2B">
              <w:rPr>
                <w:b/>
                <w:bCs/>
              </w:rPr>
              <w:t>Selgitatud.</w:t>
            </w:r>
          </w:p>
          <w:p w14:paraId="32C1E290" w14:textId="11D0FFCD" w:rsidR="00971E8A" w:rsidRPr="00412371" w:rsidRDefault="00CE3D2B" w:rsidP="00990046">
            <w:pPr>
              <w:ind w:left="-5"/>
            </w:pPr>
            <w:r w:rsidRPr="00CE3D2B">
              <w:t xml:space="preserve">Märkus puudutab sisuliselt finantsteenuste reklaami regulatsiooni laiemalt ning viitab reklaamiseaduse süsteemsetele probleemidele (nt regulatsiooni killustatus ja kohustusliku teabe maht ning rakendatavus). Pangaliidu seisukohad on esitatud </w:t>
            </w:r>
            <w:proofErr w:type="spellStart"/>
            <w:r w:rsidRPr="00CE3D2B">
              <w:t>RekS</w:t>
            </w:r>
            <w:proofErr w:type="spellEnd"/>
            <w:r w:rsidRPr="00CE3D2B">
              <w:t xml:space="preserve"> § 29 näitel, mis reguleerib finantsteenuste reklaami. Käesoleva eelnõu muudatused on seotud direktiivist (EL) 2023/2225 tulenevate nõuete ülevõtmisega ning keskenduvad </w:t>
            </w:r>
            <w:r w:rsidR="564F1299">
              <w:t>direktiivi ülevõtmiseks vajalik</w:t>
            </w:r>
            <w:r w:rsidR="5CF55827">
              <w:t>u</w:t>
            </w:r>
            <w:r w:rsidR="564F1299">
              <w:t xml:space="preserve">le </w:t>
            </w:r>
            <w:proofErr w:type="spellStart"/>
            <w:r w:rsidRPr="00CE3D2B">
              <w:t>RekS</w:t>
            </w:r>
            <w:proofErr w:type="spellEnd"/>
            <w:r w:rsidRPr="00CE3D2B">
              <w:t xml:space="preserve"> § 29 täpsustamisele. Eelnõu ei käsitle reklaamiseaduse tervikrevisjoni ega finantsteenuste reklaami regulatsiooni süsteemset muutmist.</w:t>
            </w:r>
          </w:p>
        </w:tc>
      </w:tr>
      <w:tr w:rsidR="00D22FD2" w14:paraId="0F44FEDE" w14:textId="77777777" w:rsidTr="00617FBE">
        <w:tc>
          <w:tcPr>
            <w:tcW w:w="576" w:type="dxa"/>
          </w:tcPr>
          <w:p w14:paraId="6904D389" w14:textId="1EF5235E" w:rsidR="003B0014" w:rsidRDefault="00E97DE2" w:rsidP="000179B5">
            <w:pPr>
              <w:jc w:val="center"/>
            </w:pPr>
            <w:r>
              <w:t>37</w:t>
            </w:r>
          </w:p>
        </w:tc>
        <w:tc>
          <w:tcPr>
            <w:tcW w:w="5040" w:type="dxa"/>
          </w:tcPr>
          <w:p w14:paraId="79341AD0" w14:textId="6139F652" w:rsidR="003B0014" w:rsidRPr="00083FE5" w:rsidRDefault="00083FE5" w:rsidP="00585461">
            <w:proofErr w:type="spellStart"/>
            <w:r w:rsidRPr="00585461">
              <w:t>RekS</w:t>
            </w:r>
            <w:proofErr w:type="spellEnd"/>
            <w:r w:rsidRPr="00585461">
              <w:t xml:space="preserve"> § 29 lg 3</w:t>
            </w:r>
            <w:r w:rsidR="00585461">
              <w:rPr>
                <w:vertAlign w:val="superscript"/>
              </w:rPr>
              <w:t>1</w:t>
            </w:r>
            <w:r w:rsidRPr="00585461">
              <w:t xml:space="preserve"> ja lg 8</w:t>
            </w:r>
            <w:r w:rsidR="00585461">
              <w:rPr>
                <w:vertAlign w:val="superscript"/>
              </w:rPr>
              <w:t>1</w:t>
            </w:r>
            <w:r w:rsidRPr="00585461">
              <w:t xml:space="preserve"> - </w:t>
            </w:r>
            <w:r w:rsidR="00981ACB" w:rsidRPr="00585461">
              <w:t>seetõttu edastame Eesti Pangaliidu 3.05.2022.a kirja väljavõtte majandus- ja kommunikatsiooniministeeriumile, kus toome välja reklaamiseaduse § 29 probleeme. Kiri edastati projekti raames, kus ministeerium arutas turuosalistega reklaamiga seonduvat: „</w:t>
            </w:r>
            <w:proofErr w:type="spellStart"/>
            <w:r w:rsidR="00981ACB" w:rsidRPr="00585461">
              <w:t>RekS</w:t>
            </w:r>
            <w:proofErr w:type="spellEnd"/>
            <w:r w:rsidR="00981ACB" w:rsidRPr="00585461">
              <w:t xml:space="preserve"> § 29 p 31 reklaamis, millega teavitatakse valmisolekut anda tarbijakrediiti või vahendada</w:t>
            </w:r>
            <w:r w:rsidR="008870A5" w:rsidRPr="00585461">
              <w:t xml:space="preserve"> tarbijakrediidilepinguid, tuleb esitada tüüpilise näite kujul järgnev teave 1) …. 6).  Rahandusministeeriumi poolt läbiviidud uuringu tulemuse ühe järeldusena on välja toodud, et inimeste üldine finantshariduse tase on võrdlemisi madal, kuna suurel määral eksiti ka lihtsama intressiarvutuse, järelmaksu arvutuse ning krediidikulukuse määra defineerimisel. Läbiviidud eksperimendi tulemus näitas, et ostukavatsus muutus kõige rohkem koguhinna kuvamisel </w:t>
            </w:r>
            <w:r w:rsidR="008870A5" w:rsidRPr="00585461">
              <w:lastRenderedPageBreak/>
              <w:t>langedes 4%-</w:t>
            </w:r>
            <w:proofErr w:type="spellStart"/>
            <w:r w:rsidR="008870A5" w:rsidRPr="00585461">
              <w:t>le</w:t>
            </w:r>
            <w:proofErr w:type="spellEnd"/>
            <w:r w:rsidR="008870A5" w:rsidRPr="00585461">
              <w:t>. Tarbijakrediidi kulukuse määra nägemisel 8%-</w:t>
            </w:r>
            <w:proofErr w:type="spellStart"/>
            <w:r w:rsidR="008870A5" w:rsidRPr="00585461">
              <w:t>le</w:t>
            </w:r>
            <w:proofErr w:type="spellEnd"/>
            <w:r w:rsidR="008870A5" w:rsidRPr="00585461">
              <w:t>. Eksperiment oli seotud otseselt kaubaga ning selle maksumusega. Arvestades, et kehtival kujul tüüpilise näite esitamine tarbijakrediidireklaamil ei täida oma eesmärki, kuna tarbija ei pruugi mõista selle tegelikku olemust ning on pigem koormav ning tarbija jaoks ebaselge. Sh ei saa tarbija läbi reklaami üheselt võrrelda erinevate turuosaliste poolt pakutavaid krediiditooteid üksnes tüüpilise näite alusel. Läbi praktiliste näidete on näha, et turuosalised esitavad tüüpilise näite teavet erinevalt nt ei ole välja toodud intressimäära arvutamise alus, esitatakse krediidikulukuse määra maksimaalseid seadusest tulenevaid piirmäärasid jne. Siinkohal peame oluliseks hinnata, millises mahus on kohustusliku teabe esitamine tarbijale mõistlik. Et teabe esitamine täidaks oma eesmärki st et ühetaolistel alustel kujuneks näitaja, mida tarbija ka sisuliselt saaks võrdluseks kasutada. Tänane</w:t>
            </w:r>
            <w:r w:rsidR="00452DD6" w:rsidRPr="00585461">
              <w:t xml:space="preserve"> kohustuslik teave on ebamõistlikult koor</w:t>
            </w:r>
            <w:r w:rsidR="00CF66E3" w:rsidRPr="00585461">
              <w:t xml:space="preserve">mav nii krediidipakkuja kui ka tarbija vaatest ning sh ei </w:t>
            </w:r>
            <w:r w:rsidR="003D0511" w:rsidRPr="00585461">
              <w:t xml:space="preserve">saa klient täielikku ja ühest teavet </w:t>
            </w:r>
            <w:r w:rsidR="00585461" w:rsidRPr="00585461">
              <w:t>krediiditoote tingimuste kohta</w:t>
            </w:r>
            <w:r w:rsidR="00585461">
              <w:t xml:space="preserve">. </w:t>
            </w:r>
          </w:p>
        </w:tc>
        <w:tc>
          <w:tcPr>
            <w:tcW w:w="5016" w:type="dxa"/>
          </w:tcPr>
          <w:p w14:paraId="6F6D14AD" w14:textId="77777777" w:rsidR="00004E8A" w:rsidRDefault="00997050" w:rsidP="00997050">
            <w:pPr>
              <w:rPr>
                <w:b/>
                <w:bCs/>
              </w:rPr>
            </w:pPr>
            <w:r w:rsidRPr="00997050">
              <w:rPr>
                <w:b/>
                <w:bCs/>
              </w:rPr>
              <w:lastRenderedPageBreak/>
              <w:t>Arvestatud osaliselt.</w:t>
            </w:r>
          </w:p>
          <w:p w14:paraId="5EF59AEA" w14:textId="56A0BC85" w:rsidR="003B0014" w:rsidRPr="00CE3D2B" w:rsidRDefault="00997050" w:rsidP="00997050">
            <w:r w:rsidRPr="00997050">
              <w:t>Direktiivist (EL) 2023/2225 tulenevalt säilib kohustus esitada tarbijakrediidi reklaamis standardteave, sh tüüpiline näide, mistõttu ei ole võimalik kohustusliku teabe mahtu vähendada ega tüüpilise näite esitamisest loobuda. Seletuskirjas on täpsustatud tüüpilise näite eesmärki ning rõhutatud, et teave peab olema</w:t>
            </w:r>
            <w:r w:rsidR="005F0F18">
              <w:t xml:space="preserve"> </w:t>
            </w:r>
            <w:r w:rsidR="005F0F18" w:rsidRPr="005F0F18">
              <w:t>esitatud viisil, mis on tarbijale arusaadav, esitatud ühtsetel alustel ning võimaldab pakkumisi võrrelda. Samuti on selgitatud, et teabe esitamisel tuleb vältida praktikaid, mis kahjustavad teabe selgust või võrreldavust</w:t>
            </w:r>
            <w:r w:rsidR="005F0F18">
              <w:t xml:space="preserve">. </w:t>
            </w:r>
          </w:p>
        </w:tc>
      </w:tr>
      <w:tr w:rsidR="00D22FD2" w14:paraId="136EADC3" w14:textId="77777777" w:rsidTr="00617FBE">
        <w:tc>
          <w:tcPr>
            <w:tcW w:w="576" w:type="dxa"/>
          </w:tcPr>
          <w:p w14:paraId="59ED6DE0" w14:textId="1F474FB9" w:rsidR="005F0F18" w:rsidRDefault="00E97DE2" w:rsidP="000179B5">
            <w:pPr>
              <w:jc w:val="center"/>
            </w:pPr>
            <w:r>
              <w:t>38</w:t>
            </w:r>
          </w:p>
        </w:tc>
        <w:tc>
          <w:tcPr>
            <w:tcW w:w="5040" w:type="dxa"/>
          </w:tcPr>
          <w:p w14:paraId="049D00FF" w14:textId="62D2469E" w:rsidR="005F0F18" w:rsidRPr="00585461" w:rsidRDefault="009B01D4" w:rsidP="00585461">
            <w:r w:rsidRPr="009B01D4">
              <w:t>Tulenevalt järjest enam areneva infoühiskonna ning erinevate meediakanalitega, siis kehtival kujul tüüpnäite kuvamise kohustus piirab olulisel määral finantsteenuseosutaja võimalusi reklaamimiseks. Sellest tulenevalt näeme veelgi enam vajadust, et hinnatakse kohustusliku teabe esitamise mahtu lähtudes mh meediaväljundist ning esitatava reklaami kuvamise erisustest. Võiks kaaluda krediiditoodete osas kohustusliku teabe ja muu vajaliku teabe esitamise ja mahtu suunates läbi reklaami klienti õigesse kanalisse infot saama. Probleemi koht on pigem ka see, kui krediidiandja mh nt oma kodulehel ei edasta täielikku ning tõest teavet krediiditoote osas. Samuti pöörame tähelepanu asjaolule, et reklaam ei anna tarbijale laenu. Laenu väljastab tarbijale krediidiandja peale kliendi krediidivõimelisuse hindamist. Sh kehtivad kõikidele krediidiandjatele ühetaolised vastutustundliku laenamise nõuded.“</w:t>
            </w:r>
          </w:p>
        </w:tc>
        <w:tc>
          <w:tcPr>
            <w:tcW w:w="5016" w:type="dxa"/>
          </w:tcPr>
          <w:p w14:paraId="253025D0" w14:textId="77777777" w:rsidR="00004E8A" w:rsidRDefault="0072486A" w:rsidP="0072486A">
            <w:pPr>
              <w:rPr>
                <w:b/>
                <w:bCs/>
              </w:rPr>
            </w:pPr>
            <w:r w:rsidRPr="0072486A">
              <w:rPr>
                <w:b/>
                <w:bCs/>
              </w:rPr>
              <w:t>Selgitatud.</w:t>
            </w:r>
          </w:p>
          <w:p w14:paraId="518EC49A" w14:textId="674034A2" w:rsidR="0072486A" w:rsidRPr="0072486A" w:rsidRDefault="0072486A" w:rsidP="0072486A">
            <w:r w:rsidRPr="0072486A">
              <w:t>Direktiivist (EL) 2023/2225 tulenevalt tuleb tarbijakrediidi reklaamis esitada standardteave ning seda ei ole võimalik asendada üksnes suunamisega täiendavasse teabesse muudes kanalites. Eelnõus on siiski arvestatud reklaamikanalite eripäradega (</w:t>
            </w:r>
            <w:proofErr w:type="spellStart"/>
            <w:r w:rsidRPr="0072486A">
              <w:t>RekS</w:t>
            </w:r>
            <w:proofErr w:type="spellEnd"/>
            <w:r w:rsidRPr="0072486A">
              <w:t xml:space="preserve"> § 29 lg 8 ja lg 8¹).</w:t>
            </w:r>
          </w:p>
          <w:p w14:paraId="6D192C92" w14:textId="77777777" w:rsidR="0072486A" w:rsidRPr="0072486A" w:rsidRDefault="0072486A" w:rsidP="0072486A">
            <w:r w:rsidRPr="0072486A">
              <w:t xml:space="preserve">Lisaks täiendatakse seletuskirja </w:t>
            </w:r>
            <w:proofErr w:type="spellStart"/>
            <w:r w:rsidRPr="0072486A">
              <w:t>RekS</w:t>
            </w:r>
            <w:proofErr w:type="spellEnd"/>
            <w:r w:rsidRPr="0072486A">
              <w:t xml:space="preserve"> § 29 lg 8 ja lg 8¹ selgituse juures, selgitades digikanalite tehniliste piirangute mõju teabe esitamisele ning olukordi, millal on põhjendatud teabe osaline kuvamata jätmine.</w:t>
            </w:r>
          </w:p>
          <w:p w14:paraId="163BE937" w14:textId="79CFDB11" w:rsidR="005F0F18" w:rsidRPr="00997050" w:rsidRDefault="0072486A" w:rsidP="0072486A">
            <w:pPr>
              <w:rPr>
                <w:b/>
                <w:bCs/>
              </w:rPr>
            </w:pPr>
            <w:r w:rsidRPr="0072486A">
              <w:t>Ühtlasi tuleb arvestada, et reklaamil on oluline roll tarbija esmasel teavitamisel ning direktiivist tulenevalt peab tarbijal olema võimalik saada krediiditoote põhiandmed juba reklaami põhjal, sõltumata sellest, et krediidivõimelisuse hindamine toimub hiljem krediidiandja poolt.</w:t>
            </w:r>
          </w:p>
        </w:tc>
      </w:tr>
      <w:tr w:rsidR="002A6C9D" w14:paraId="3AC6DF4A" w14:textId="77777777" w:rsidTr="00617FBE">
        <w:tc>
          <w:tcPr>
            <w:tcW w:w="10632" w:type="dxa"/>
            <w:gridSpan w:val="3"/>
          </w:tcPr>
          <w:p w14:paraId="06E5D91D" w14:textId="6EEA1F46" w:rsidR="00990046" w:rsidRPr="00990046" w:rsidRDefault="00990046" w:rsidP="00990046">
            <w:pPr>
              <w:ind w:left="-5"/>
            </w:pPr>
            <w:r>
              <w:t>Muud ettepanekud</w:t>
            </w:r>
          </w:p>
        </w:tc>
      </w:tr>
      <w:tr w:rsidR="00D22FD2" w14:paraId="1096A725" w14:textId="77777777" w:rsidTr="00617FBE">
        <w:tc>
          <w:tcPr>
            <w:tcW w:w="576" w:type="dxa"/>
          </w:tcPr>
          <w:p w14:paraId="3F0C8A4F" w14:textId="2DC9A85A" w:rsidR="00990046" w:rsidRDefault="00E97DE2" w:rsidP="000179B5">
            <w:pPr>
              <w:jc w:val="center"/>
            </w:pPr>
            <w:r>
              <w:lastRenderedPageBreak/>
              <w:t>39</w:t>
            </w:r>
          </w:p>
        </w:tc>
        <w:tc>
          <w:tcPr>
            <w:tcW w:w="5040" w:type="dxa"/>
          </w:tcPr>
          <w:p w14:paraId="5F22CA5F" w14:textId="303C1077" w:rsidR="00990046" w:rsidRPr="00412371" w:rsidRDefault="00562102" w:rsidP="000179B5">
            <w:pPr>
              <w:pStyle w:val="Pealkiri3"/>
              <w:spacing w:before="0" w:after="0"/>
              <w:ind w:left="-40" w:firstLine="40"/>
              <w:rPr>
                <w:rFonts w:cs="Times New Roman"/>
                <w:color w:val="auto"/>
                <w:sz w:val="24"/>
                <w:szCs w:val="24"/>
              </w:rPr>
            </w:pPr>
            <w:r w:rsidRPr="00562102">
              <w:rPr>
                <w:rFonts w:cs="Times New Roman"/>
                <w:color w:val="auto"/>
                <w:sz w:val="24"/>
                <w:szCs w:val="24"/>
              </w:rPr>
              <w:t>Ettepanek täiendada VÕS § 403</w:t>
            </w:r>
            <w:r>
              <w:rPr>
                <w:rFonts w:cs="Times New Roman"/>
                <w:color w:val="auto"/>
                <w:sz w:val="24"/>
                <w:szCs w:val="24"/>
                <w:vertAlign w:val="superscript"/>
              </w:rPr>
              <w:t>4</w:t>
            </w:r>
            <w:r w:rsidRPr="00562102">
              <w:rPr>
                <w:rFonts w:cs="Times New Roman"/>
                <w:color w:val="auto"/>
                <w:sz w:val="24"/>
                <w:szCs w:val="24"/>
              </w:rPr>
              <w:t xml:space="preserve"> lõiget 6 pärast esimest lauset järgnevalt: „Tarbija krediidivõimelisuse kogumina hindamine hõlmab erinevate krediidivõimelisuse hindamiseks kogutud teabe ja tõendite analüüsi, mille tulemusena krediidiandja hindab tarbija suutlikkust ja valmidust krediiti tagasi maksta. Krediidivõimelisuse hindamine tugineb finants- ja majanduslikku olukorda käsitlevale teabele. Selline teave peaks olema vajalik ja proportsionaalne krediidi laadi, kestuse, väärtuse ja tarbijale tulenevate riskidega kooskõlas määruses (EL) 2016/679 sätestatud võimalikult väheste andmete kogumise põhimõttega ning peaks olema asjakohane, täielik ja õige. </w:t>
            </w:r>
            <w:r w:rsidRPr="003F55EF">
              <w:rPr>
                <w:rFonts w:cs="Times New Roman"/>
                <w:b/>
                <w:bCs/>
                <w:color w:val="auto"/>
                <w:sz w:val="24"/>
                <w:szCs w:val="24"/>
              </w:rPr>
              <w:t>Krediidiandja on oma kohustuse piisava hoolsusega täitnud, kui tarbija on objektiivselt võimeline krediiti tasuma.“.</w:t>
            </w:r>
          </w:p>
        </w:tc>
        <w:tc>
          <w:tcPr>
            <w:tcW w:w="5016" w:type="dxa"/>
          </w:tcPr>
          <w:p w14:paraId="38921AC5" w14:textId="405A5638" w:rsidR="000F3F6F" w:rsidRPr="000440AF" w:rsidRDefault="00701AB4" w:rsidP="000F3F6F">
            <w:pPr>
              <w:rPr>
                <w:b/>
                <w:bCs/>
              </w:rPr>
            </w:pPr>
            <w:r>
              <w:rPr>
                <w:b/>
                <w:bCs/>
              </w:rPr>
              <w:t xml:space="preserve">Arvestatud osaliselt / Selgitatud. </w:t>
            </w:r>
          </w:p>
          <w:p w14:paraId="3BD08F5B" w14:textId="047F1276" w:rsidR="00B4648B" w:rsidRDefault="00F35710" w:rsidP="00B4648B">
            <w:r>
              <w:t>Sõnastusettepaneku</w:t>
            </w:r>
            <w:r w:rsidR="00F9172F">
              <w:t xml:space="preserve"> kohane regulatsioon eksisteerib </w:t>
            </w:r>
            <w:r w:rsidR="005819C3">
              <w:t>juba kehtivas õiguses ning nende</w:t>
            </w:r>
            <w:r w:rsidR="00D53ABC">
              <w:t xml:space="preserve"> samade põhimõtete</w:t>
            </w:r>
            <w:r w:rsidR="005819C3">
              <w:t xml:space="preserve"> kordamine ei ole </w:t>
            </w:r>
            <w:r w:rsidR="006E258F">
              <w:t xml:space="preserve">normi tasandil </w:t>
            </w:r>
            <w:r w:rsidR="005819C3">
              <w:t xml:space="preserve">otstarbekas. </w:t>
            </w:r>
            <w:r w:rsidR="00C56BA7">
              <w:t>Esimene, teine ja kolmas lause kattu</w:t>
            </w:r>
            <w:r w:rsidR="00826251">
              <w:t>vad</w:t>
            </w:r>
            <w:r w:rsidR="00F04156">
              <w:t xml:space="preserve"> regulatsiooni poolest</w:t>
            </w:r>
            <w:r w:rsidR="00C56BA7">
              <w:t xml:space="preserve"> eelnõuga muudetava VÕS § 4</w:t>
            </w:r>
            <w:r w:rsidR="00826251" w:rsidRPr="00A0406A">
              <w:t>03</w:t>
            </w:r>
            <w:r w:rsidR="00826251" w:rsidRPr="00A0406A">
              <w:rPr>
                <w:vertAlign w:val="superscript"/>
              </w:rPr>
              <w:t>4</w:t>
            </w:r>
            <w:r w:rsidR="00826251" w:rsidRPr="00A0406A">
              <w:t xml:space="preserve"> lõike</w:t>
            </w:r>
            <w:r w:rsidR="00F04156">
              <w:t>ga</w:t>
            </w:r>
            <w:r w:rsidR="00826251" w:rsidRPr="00A0406A">
              <w:t xml:space="preserve"> 2</w:t>
            </w:r>
            <w:r w:rsidR="00826251">
              <w:t xml:space="preserve">. Kuna IKÜM on otsekohalduv, tuleb ka krediidivõimelisuse hindamisel silmas pidada </w:t>
            </w:r>
            <w:r w:rsidR="00DF28FC">
              <w:t xml:space="preserve">võimalikult väheste andmete kogumise </w:t>
            </w:r>
            <w:r w:rsidR="000009F2">
              <w:t xml:space="preserve">põhimõtet. </w:t>
            </w:r>
            <w:r w:rsidR="1F5BFE24">
              <w:t>Sellele on nüüd viidatud ka eelnõu seletuskirjas.</w:t>
            </w:r>
            <w:r w:rsidR="000009F2">
              <w:t xml:space="preserve"> </w:t>
            </w:r>
            <w:r w:rsidR="008E163E">
              <w:t>Sõnastusettepaneku</w:t>
            </w:r>
            <w:r w:rsidR="006F71B1">
              <w:t xml:space="preserve"> v</w:t>
            </w:r>
            <w:r w:rsidR="00A87FB2">
              <w:t>iim</w:t>
            </w:r>
            <w:r w:rsidR="00113029">
              <w:t>as</w:t>
            </w:r>
            <w:r w:rsidR="00A87FB2">
              <w:t>e</w:t>
            </w:r>
            <w:r w:rsidR="00113029">
              <w:t xml:space="preserve"> lause</w:t>
            </w:r>
            <w:r w:rsidR="00A87FB2">
              <w:t xml:space="preserve"> osas puudub direktiivis (EL) 2023/22</w:t>
            </w:r>
            <w:r w:rsidR="00CD5FAE">
              <w:t xml:space="preserve">25 regulatsioon </w:t>
            </w:r>
            <w:r w:rsidR="00B7306C">
              <w:t>selle osas, millistel tingimustel saab krediidiandja kohustuse lugeda täidetuks. Direktiivi täisharmoneeriva iseloomu tõttu ei ole võimalik seda ka lisada</w:t>
            </w:r>
            <w:r w:rsidR="007404C9">
              <w:t xml:space="preserve">. </w:t>
            </w:r>
            <w:r w:rsidR="008828B1">
              <w:t xml:space="preserve">Küll aga täidab sarnast </w:t>
            </w:r>
            <w:r w:rsidR="00B56A3F">
              <w:t>eesmärki</w:t>
            </w:r>
            <w:r w:rsidR="008828B1">
              <w:t xml:space="preserve"> </w:t>
            </w:r>
            <w:r w:rsidR="008B26CB">
              <w:t xml:space="preserve">juba kehtiv </w:t>
            </w:r>
            <w:r w:rsidR="008B26CB" w:rsidRPr="00562102">
              <w:t>VÕS § 403</w:t>
            </w:r>
            <w:r w:rsidR="008B26CB">
              <w:rPr>
                <w:vertAlign w:val="superscript"/>
              </w:rPr>
              <w:t>4</w:t>
            </w:r>
            <w:r w:rsidR="008B26CB" w:rsidRPr="00562102">
              <w:t xml:space="preserve"> lõige</w:t>
            </w:r>
            <w:r w:rsidR="00DB5D8C">
              <w:t xml:space="preserve"> 6 ja KAVS § 49 lg </w:t>
            </w:r>
            <w:r w:rsidR="0087631E">
              <w:t>4</w:t>
            </w:r>
            <w:r w:rsidR="00B56A3F">
              <w:t xml:space="preserve">. </w:t>
            </w:r>
            <w:r w:rsidR="00314BD4">
              <w:t xml:space="preserve">Sellest </w:t>
            </w:r>
            <w:r w:rsidR="00657A29">
              <w:t xml:space="preserve">saab tuletada, et </w:t>
            </w:r>
            <w:r w:rsidR="00314BD4">
              <w:t xml:space="preserve"> k</w:t>
            </w:r>
            <w:r w:rsidR="00120E29">
              <w:t xml:space="preserve">rediidiandja </w:t>
            </w:r>
            <w:r w:rsidR="00657A29">
              <w:t xml:space="preserve">on </w:t>
            </w:r>
            <w:r w:rsidR="00314BD4">
              <w:t xml:space="preserve">oma kohustuse </w:t>
            </w:r>
            <w:r w:rsidR="00D615BD">
              <w:t xml:space="preserve">täitnud </w:t>
            </w:r>
            <w:r w:rsidR="00314BD4">
              <w:t xml:space="preserve">ja võis tarbijale krediiti väljastada, </w:t>
            </w:r>
            <w:r w:rsidR="00165A9E">
              <w:t xml:space="preserve">kui </w:t>
            </w:r>
            <w:r w:rsidR="00DE4873" w:rsidRPr="00DE4873">
              <w:t xml:space="preserve">ta on krediidivõimelisuse hindamise aluseks olevate andmete kogumis analüüsimise tulemusena veendunud, et </w:t>
            </w:r>
            <w:r w:rsidR="00630447">
              <w:t xml:space="preserve">tarbija on krediidivõimeline ja </w:t>
            </w:r>
            <w:r w:rsidR="00DE4873" w:rsidRPr="00DE4873">
              <w:t>krediidilepingust tulenevad kohustused täidetakse lepingus kokkulepitud tingimustel</w:t>
            </w:r>
            <w:r w:rsidR="00165A9E">
              <w:t xml:space="preserve"> (sisuliselt tähendab see samuti objektiivset võimekust krediiti tasuda). </w:t>
            </w:r>
          </w:p>
          <w:p w14:paraId="54BA77E6" w14:textId="6D723870" w:rsidR="00630447" w:rsidRPr="00412371" w:rsidRDefault="00582765" w:rsidP="00630447">
            <w:r>
              <w:t xml:space="preserve">Samas mõistavad eelnõu autorid ideed ja eesmärki sellise sõnastusettepaneku taga. Sellest tulenevalt on seletuskirjas rohkem rõhutatud proportsionaalsuse ja riskipõhisuse põhimõtteid </w:t>
            </w:r>
            <w:r w:rsidR="0031189B" w:rsidRPr="0031189B">
              <w:t>VÕS § 403</w:t>
            </w:r>
            <w:r w:rsidR="0031189B">
              <w:rPr>
                <w:vertAlign w:val="superscript"/>
              </w:rPr>
              <w:t>4</w:t>
            </w:r>
            <w:r w:rsidR="0031189B" w:rsidRPr="0031189B">
              <w:t xml:space="preserve"> </w:t>
            </w:r>
            <w:r w:rsidR="0031189B">
              <w:t>lõike</w:t>
            </w:r>
            <w:r w:rsidR="0031189B" w:rsidRPr="0031189B">
              <w:t xml:space="preserve"> 2</w:t>
            </w:r>
            <w:r w:rsidR="0031189B">
              <w:t xml:space="preserve"> eelnõu seletuskirjas ning seotud neid ka KAVS § 50 </w:t>
            </w:r>
            <w:proofErr w:type="spellStart"/>
            <w:r w:rsidR="0031189B">
              <w:t>lg</w:t>
            </w:r>
            <w:r w:rsidR="0056136E">
              <w:t>-s</w:t>
            </w:r>
            <w:proofErr w:type="spellEnd"/>
            <w:r w:rsidR="0056136E">
              <w:t xml:space="preserve"> 3 sätestatud </w:t>
            </w:r>
            <w:r w:rsidR="006E258F">
              <w:t xml:space="preserve">teabe kontrollimise regulatsiooniga. </w:t>
            </w:r>
          </w:p>
        </w:tc>
      </w:tr>
      <w:tr w:rsidR="00D22FD2" w14:paraId="52245807" w14:textId="77777777" w:rsidTr="00617FBE">
        <w:tc>
          <w:tcPr>
            <w:tcW w:w="576" w:type="dxa"/>
          </w:tcPr>
          <w:p w14:paraId="0813EAB1" w14:textId="3CC5D304" w:rsidR="00E9502B" w:rsidRDefault="00E97DE2" w:rsidP="000179B5">
            <w:pPr>
              <w:jc w:val="center"/>
            </w:pPr>
            <w:r>
              <w:t>40</w:t>
            </w:r>
          </w:p>
        </w:tc>
        <w:tc>
          <w:tcPr>
            <w:tcW w:w="5040" w:type="dxa"/>
          </w:tcPr>
          <w:p w14:paraId="7F1F4789" w14:textId="7AD3B734" w:rsidR="00E9502B" w:rsidRPr="00562102" w:rsidRDefault="00517D2D" w:rsidP="000179B5">
            <w:pPr>
              <w:pStyle w:val="Pealkiri3"/>
              <w:spacing w:before="0" w:after="0"/>
              <w:ind w:left="-40" w:firstLine="40"/>
              <w:rPr>
                <w:rFonts w:cs="Times New Roman"/>
                <w:color w:val="auto"/>
                <w:sz w:val="24"/>
                <w:szCs w:val="24"/>
              </w:rPr>
            </w:pPr>
            <w:r w:rsidRPr="00517D2D">
              <w:rPr>
                <w:rFonts w:cs="Times New Roman"/>
                <w:color w:val="auto"/>
                <w:sz w:val="24"/>
                <w:szCs w:val="24"/>
              </w:rPr>
              <w:t>Ettepanek muuta VÕS § 403</w:t>
            </w:r>
            <w:r w:rsidRPr="00517D2D">
              <w:rPr>
                <w:rFonts w:cs="Times New Roman"/>
                <w:color w:val="auto"/>
                <w:sz w:val="24"/>
                <w:szCs w:val="24"/>
                <w:vertAlign w:val="superscript"/>
              </w:rPr>
              <w:t>4</w:t>
            </w:r>
            <w:r w:rsidRPr="00517D2D">
              <w:rPr>
                <w:rFonts w:cs="Times New Roman"/>
                <w:color w:val="auto"/>
                <w:sz w:val="24"/>
                <w:szCs w:val="24"/>
              </w:rPr>
              <w:t xml:space="preserve"> esimest lauset ja sõnastada see järgnevalt: „Kui krediidiandja rikub käesoleva paragrahvi lõikes </w:t>
            </w:r>
            <w:r w:rsidRPr="006A5830">
              <w:rPr>
                <w:rFonts w:cs="Times New Roman"/>
                <w:color w:val="auto"/>
                <w:sz w:val="24"/>
                <w:szCs w:val="24"/>
              </w:rPr>
              <w:t>6</w:t>
            </w:r>
            <w:r w:rsidRPr="00517D2D">
              <w:rPr>
                <w:rFonts w:cs="Times New Roman"/>
                <w:color w:val="auto"/>
                <w:sz w:val="24"/>
                <w:szCs w:val="24"/>
              </w:rPr>
              <w:t xml:space="preserve"> sätestatut ja rikkumisel on põhjuslik seos tarbija makseraskustega, loetakse tarbijakrediidilepingu intressimääraks käesoleva seaduse §-s 94 sätestatud intressimäär, kui see ei ole suurem varem kokkulepitud intressimäärast.“</w:t>
            </w:r>
          </w:p>
        </w:tc>
        <w:tc>
          <w:tcPr>
            <w:tcW w:w="5016" w:type="dxa"/>
          </w:tcPr>
          <w:p w14:paraId="6B23D7A8" w14:textId="17568A74" w:rsidR="00630447" w:rsidRPr="00630447" w:rsidRDefault="00630447" w:rsidP="000179B5">
            <w:pPr>
              <w:ind w:left="-5"/>
              <w:rPr>
                <w:b/>
                <w:bCs/>
              </w:rPr>
            </w:pPr>
            <w:r w:rsidRPr="00630447">
              <w:rPr>
                <w:b/>
                <w:bCs/>
              </w:rPr>
              <w:t xml:space="preserve">Mittearvestatud. </w:t>
            </w:r>
          </w:p>
          <w:p w14:paraId="12E6B951" w14:textId="46CAF542" w:rsidR="00E9502B" w:rsidRDefault="00D35404" w:rsidP="00221BB7">
            <w:pPr>
              <w:ind w:left="-5"/>
              <w:rPr>
                <w:i/>
                <w:iCs/>
              </w:rPr>
            </w:pPr>
            <w:r>
              <w:t xml:space="preserve">Eelnõu autorid ei toeta </w:t>
            </w:r>
            <w:r w:rsidR="001A38F9">
              <w:t>va</w:t>
            </w:r>
            <w:r w:rsidR="0008541A">
              <w:t xml:space="preserve">stavasse sättesse põhjusliku seose lisamist. </w:t>
            </w:r>
            <w:r w:rsidR="00CC5E0E">
              <w:t>Kui makseraskused on tarbija jaoks tekkinud ootamatult (nt haigestumine, töö kaotu</w:t>
            </w:r>
            <w:r w:rsidR="7F796A48">
              <w:t>s</w:t>
            </w:r>
            <w:r w:rsidR="00CC5E0E">
              <w:t>)</w:t>
            </w:r>
            <w:r w:rsidR="00AF5BD9">
              <w:t xml:space="preserve">, kuid siiski oli tarbijakrediidilepingu </w:t>
            </w:r>
            <w:r w:rsidR="000E0AF2">
              <w:t>sõlmimise eeldusena</w:t>
            </w:r>
            <w:r w:rsidR="00AF5BD9">
              <w:t xml:space="preserve"> tarbija </w:t>
            </w:r>
            <w:r w:rsidR="00EE47A0">
              <w:t xml:space="preserve">(krediidivõime hindamisel tulemusel) </w:t>
            </w:r>
            <w:r w:rsidR="006C4E53">
              <w:t xml:space="preserve">maksevõimeline, ei ole krediidiandja oma kohustusi rikkunud ja intressimäära alandamine ei tule kõne alla. Samas kui tarbijal mingeid makseraskusi ei teki, aga </w:t>
            </w:r>
            <w:r w:rsidR="00210C02">
              <w:t xml:space="preserve">krediidiandja </w:t>
            </w:r>
            <w:r w:rsidR="006C4E53">
              <w:t xml:space="preserve">ei ole </w:t>
            </w:r>
            <w:r w:rsidR="008B0B36">
              <w:t xml:space="preserve">üldse tarbija krediidivõimet hinnanud </w:t>
            </w:r>
            <w:r w:rsidR="6854CD9B">
              <w:t>või on</w:t>
            </w:r>
            <w:r w:rsidR="008B0B36">
              <w:t xml:space="preserve"> teinud seda ilmselgelt mittenõuetekohaselt, </w:t>
            </w:r>
            <w:r w:rsidR="00746C53">
              <w:t xml:space="preserve">on ta oma kohustusi rikkunud ja sellisel juhul peaks ka seaduses sätestatud </w:t>
            </w:r>
            <w:r w:rsidR="000D01E3">
              <w:t>sanktsioon intressimäära alanemise näol rakenduma.</w:t>
            </w:r>
            <w:r w:rsidR="00F2306C">
              <w:t xml:space="preserve"> </w:t>
            </w:r>
            <w:r w:rsidR="001D7A23">
              <w:t>Praktikas on aga</w:t>
            </w:r>
            <w:r w:rsidR="0048258F">
              <w:t xml:space="preserve"> selge, </w:t>
            </w:r>
            <w:r w:rsidR="0048258F">
              <w:lastRenderedPageBreak/>
              <w:t xml:space="preserve">et kui tarbijal makseraskusi ega võlgnevusi ei teki, ei tõusetu poolte vahel ka vaidlust ning intressimäära alandamiseni ei jõutagi. </w:t>
            </w:r>
          </w:p>
          <w:p w14:paraId="6E085EA8" w14:textId="76D88907" w:rsidR="00CC5E0E" w:rsidRPr="00412371" w:rsidRDefault="0048258F" w:rsidP="0048258F">
            <w:r>
              <w:t>Lisaks eelto</w:t>
            </w:r>
            <w:r w:rsidR="00004E8A">
              <w:t xml:space="preserve">odule on põhjuslik seos selline õiguslik instituut, mis kuulub olemuslikult kahju hüvitamise õiguse süsteemi. Intressimäära alandamine toimub aga automaatselt seaduse alusel ja see ei ole kahju hüvitamisega seotud. </w:t>
            </w:r>
          </w:p>
        </w:tc>
      </w:tr>
      <w:tr w:rsidR="002A6C9D" w14:paraId="65BA7B8F" w14:textId="77777777" w:rsidTr="00617FBE">
        <w:tc>
          <w:tcPr>
            <w:tcW w:w="10632" w:type="dxa"/>
            <w:gridSpan w:val="3"/>
          </w:tcPr>
          <w:p w14:paraId="12125E5B" w14:textId="02884EC2" w:rsidR="006458F1" w:rsidRPr="006458F1" w:rsidRDefault="006458F1" w:rsidP="000179B5">
            <w:pPr>
              <w:ind w:left="-5"/>
              <w:rPr>
                <w:b/>
                <w:bCs/>
              </w:rPr>
            </w:pPr>
            <w:r w:rsidRPr="006458F1">
              <w:rPr>
                <w:b/>
                <w:bCs/>
              </w:rPr>
              <w:lastRenderedPageBreak/>
              <w:t>FinanceEstonia</w:t>
            </w:r>
          </w:p>
        </w:tc>
      </w:tr>
      <w:tr w:rsidR="002A6C9D" w14:paraId="7E332857" w14:textId="77777777" w:rsidTr="00617FBE">
        <w:tc>
          <w:tcPr>
            <w:tcW w:w="10632" w:type="dxa"/>
            <w:gridSpan w:val="3"/>
          </w:tcPr>
          <w:p w14:paraId="111F70B2" w14:textId="42E3E6DB" w:rsidR="008D5472" w:rsidRPr="00607BEB" w:rsidRDefault="009D3F56" w:rsidP="000179B5">
            <w:pPr>
              <w:ind w:left="-5"/>
            </w:pPr>
            <w:r>
              <w:t>Jõustumisaeg</w:t>
            </w:r>
          </w:p>
        </w:tc>
      </w:tr>
      <w:tr w:rsidR="00D22FD2" w14:paraId="0E3BD756" w14:textId="77777777" w:rsidTr="00617FBE">
        <w:tc>
          <w:tcPr>
            <w:tcW w:w="576" w:type="dxa"/>
          </w:tcPr>
          <w:p w14:paraId="71FE4864" w14:textId="1D983C36" w:rsidR="008D5472" w:rsidRDefault="009D3F56" w:rsidP="000179B5">
            <w:pPr>
              <w:jc w:val="center"/>
            </w:pPr>
            <w:r>
              <w:t>1</w:t>
            </w:r>
          </w:p>
        </w:tc>
        <w:tc>
          <w:tcPr>
            <w:tcW w:w="5040" w:type="dxa"/>
          </w:tcPr>
          <w:p w14:paraId="432C1C70" w14:textId="1EB0901C" w:rsidR="008D5472" w:rsidRPr="00412371" w:rsidRDefault="004E257F" w:rsidP="004E257F">
            <w:r>
              <w:t>Ettepanek</w:t>
            </w:r>
            <w:r w:rsidRPr="004E257F">
              <w:t xml:space="preserve"> kohandada seaduse jõustumise ajakava selliselt, et turuosalistele oleks tagatud vähemalt 12-kuuline e</w:t>
            </w:r>
            <w:r>
              <w:t>tt</w:t>
            </w:r>
            <w:r w:rsidRPr="004E257F">
              <w:t xml:space="preserve">evalmistusperiood pärast seaduse vastuvõtmist. See võimaldaks tagada nõuete järkjärgulise ja kvaliteetse rakendamise ning oleks kooskõlas </w:t>
            </w:r>
            <w:r w:rsidR="005C4D1D">
              <w:t>direktiivi</w:t>
            </w:r>
            <w:r w:rsidRPr="004E257F">
              <w:t xml:space="preserve"> eesmärgiga. Ebapiisav </w:t>
            </w:r>
            <w:r w:rsidR="005C4D1D">
              <w:t>ettevalmistusperiood</w:t>
            </w:r>
            <w:r w:rsidRPr="004E257F">
              <w:t xml:space="preserve"> võib </w:t>
            </w:r>
            <w:r w:rsidR="005C4D1D">
              <w:t>praktikas</w:t>
            </w:r>
            <w:r w:rsidRPr="004E257F">
              <w:t xml:space="preserve"> viia olukorrani, kus turuosalised peavad rakendama uusi nõudeid kiirustades, mis suurendab</w:t>
            </w:r>
            <w:r w:rsidR="005C4D1D">
              <w:t xml:space="preserve"> </w:t>
            </w:r>
            <w:r w:rsidRPr="004E257F">
              <w:t>regulatsiooni ebaühtlase tõlgendamise ja rakendamise riski</w:t>
            </w:r>
          </w:p>
        </w:tc>
        <w:tc>
          <w:tcPr>
            <w:tcW w:w="5016" w:type="dxa"/>
          </w:tcPr>
          <w:p w14:paraId="6D2A8281" w14:textId="65BC76AA" w:rsidR="008D5472" w:rsidRPr="00412371" w:rsidRDefault="68FAAE79" w:rsidP="05B57F32">
            <w:r w:rsidRPr="05B57F32">
              <w:rPr>
                <w:b/>
                <w:bCs/>
              </w:rPr>
              <w:t>Arvestatud osaliselt / Selgitatud.</w:t>
            </w:r>
            <w:r>
              <w:t xml:space="preserve"> </w:t>
            </w:r>
          </w:p>
          <w:p w14:paraId="17338667" w14:textId="5C37C9B4" w:rsidR="008D5472" w:rsidRPr="00412371" w:rsidRDefault="68FAAE79" w:rsidP="05B57F32">
            <w:r>
              <w:t xml:space="preserve">Justiits- ja Digiministeerium mõistab praktilist vajadust eelnõu jõustumistähtaja edasilükkamise järele. </w:t>
            </w:r>
          </w:p>
          <w:p w14:paraId="0E4BD520" w14:textId="0745EBF9" w:rsidR="008D5472" w:rsidRPr="00412371" w:rsidRDefault="68FAAE79" w:rsidP="00A910DE">
            <w:pPr>
              <w:rPr>
                <w:highlight w:val="cyan"/>
              </w:rPr>
            </w:pPr>
            <w:r>
              <w:t xml:space="preserve">Eelnõuga on lükatud seaduse jõustumiskuupäeva võrreldes esialgu kavandatuga kuus kuud edasi. Sellest pikem edasilükkamine tekitaks oluliselt suurema rikkumismenetluse ohu. Seetõttu ei saa pikemat </w:t>
            </w:r>
            <w:r w:rsidR="1C8DF3C9">
              <w:t>tähtaeg</w:t>
            </w:r>
            <w:r w:rsidR="041721DA">
              <w:t>a</w:t>
            </w:r>
            <w:r>
              <w:t xml:space="preserve"> ette näha. Kuid praktilisest vajadusest lähtuvalt lükatakse jõustumistähtaeg kuus kuud edasi.</w:t>
            </w:r>
          </w:p>
        </w:tc>
      </w:tr>
      <w:tr w:rsidR="002A6C9D" w14:paraId="084C164E" w14:textId="77777777" w:rsidTr="00617FBE">
        <w:tc>
          <w:tcPr>
            <w:tcW w:w="10632" w:type="dxa"/>
            <w:gridSpan w:val="3"/>
          </w:tcPr>
          <w:p w14:paraId="0CDCA900" w14:textId="03FC210B" w:rsidR="005A3AB6" w:rsidRPr="00412371" w:rsidRDefault="009D3F56" w:rsidP="000179B5">
            <w:pPr>
              <w:ind w:left="-5"/>
            </w:pPr>
            <w:r>
              <w:t>Võlaõigusseadus</w:t>
            </w:r>
          </w:p>
        </w:tc>
      </w:tr>
      <w:tr w:rsidR="00D22FD2" w14:paraId="268220D0" w14:textId="77777777" w:rsidTr="00617FBE">
        <w:tc>
          <w:tcPr>
            <w:tcW w:w="576" w:type="dxa"/>
          </w:tcPr>
          <w:p w14:paraId="0054FA9A" w14:textId="7A8C64C8" w:rsidR="005A3AB6" w:rsidRDefault="009D3F56" w:rsidP="000179B5">
            <w:pPr>
              <w:jc w:val="center"/>
            </w:pPr>
            <w:r>
              <w:t>2</w:t>
            </w:r>
          </w:p>
        </w:tc>
        <w:tc>
          <w:tcPr>
            <w:tcW w:w="5040" w:type="dxa"/>
          </w:tcPr>
          <w:p w14:paraId="5B9546DC" w14:textId="77777777" w:rsidR="005A3AB6" w:rsidRDefault="005A3AB6" w:rsidP="004E257F">
            <w:r>
              <w:t>Ettepanekud:</w:t>
            </w:r>
          </w:p>
          <w:p w14:paraId="5B88EBAE" w14:textId="6882749C" w:rsidR="005A3AB6" w:rsidRDefault="005030F7" w:rsidP="005030F7">
            <w:r>
              <w:t xml:space="preserve">(i) </w:t>
            </w:r>
            <w:r w:rsidR="005A3AB6">
              <w:t>t</w:t>
            </w:r>
            <w:r w:rsidR="005A3AB6" w:rsidRPr="005A3AB6">
              <w:t>äpsustada seaduse tasandil kontrollikohustuse ulatust ja selle proportsionaalsust. VÕS § 403⁴ lõigete 3 ja 4 sõnastust tuleks täpsustada viisil, mis kajastab CCD II ar</w:t>
            </w:r>
            <w:r w:rsidR="005A3AB6">
              <w:t>tikli</w:t>
            </w:r>
            <w:r w:rsidR="005A3AB6" w:rsidRPr="005A3AB6">
              <w:t xml:space="preserve"> 18 lõikes 3 sätestatud proportsionaalsuse põhimõtet. Seaduse sõnastus peaks üheselt väljendama, et krediidiandja kohustus kontrollida krediidivõimelisuse hindamisel kasutatavat teavet ei ole absoluutne, vaid riskipõhine ja proportsionaalne.</w:t>
            </w:r>
          </w:p>
          <w:p w14:paraId="57251997" w14:textId="77777777" w:rsidR="005030F7" w:rsidRDefault="005030F7" w:rsidP="005030F7"/>
          <w:p w14:paraId="4F0F07BA" w14:textId="77777777" w:rsidR="005A3AB6" w:rsidRDefault="005A3AB6" w:rsidP="005A3AB6">
            <w:r>
              <w:t>(ii) t</w:t>
            </w:r>
            <w:r w:rsidRPr="005A3AB6">
              <w:t xml:space="preserve">äpsustada seaduse või seletuskirja tasandil, millal võib krediidiandja tugineda tarbija esitatud teabele. Õigusselguse tagamiseks tuleks selgitada, et krediidiandja võib krediidivõimelisuse hindamisel tugineda tarbija esitatud teabele, kui puudub põhjendatud alus selle õigsuses kahelda ning kui kogutud teave on krediidiotsuse tegemiseks asjakohane ja piisav. </w:t>
            </w:r>
          </w:p>
          <w:p w14:paraId="1DEF103C" w14:textId="77777777" w:rsidR="005030F7" w:rsidRDefault="005030F7" w:rsidP="005A3AB6"/>
          <w:p w14:paraId="571EA1D0" w14:textId="774E980D" w:rsidR="005A3AB6" w:rsidRDefault="005A3AB6" w:rsidP="005A3AB6">
            <w:r w:rsidRPr="005A3AB6">
              <w:t xml:space="preserve">(iii) </w:t>
            </w:r>
            <w:r>
              <w:t>t</w:t>
            </w:r>
            <w:r w:rsidRPr="005A3AB6">
              <w:t xml:space="preserve">äpsustada eriliiki isikuandmete kasutamise keeldu krediidivõimelisuse hindamisel. Seaduse sõnastuse või seletuskirja kaudu tuleks selgitada, millises ulatuses ja millistel </w:t>
            </w:r>
            <w:r>
              <w:t>tingimustel</w:t>
            </w:r>
            <w:r w:rsidRPr="005A3AB6">
              <w:t xml:space="preserve"> võib krediidiandja krediidivõimelisuse hindamise käigus kokku puutuda eriliiki isikuandmetele viitavate andmetega, näiteks konto </w:t>
            </w:r>
            <w:r>
              <w:t>väljavõtete</w:t>
            </w:r>
            <w:r w:rsidRPr="005A3AB6">
              <w:t xml:space="preserve"> analüüsimisel</w:t>
            </w:r>
            <w:r w:rsidR="005030F7">
              <w:t>.</w:t>
            </w:r>
          </w:p>
        </w:tc>
        <w:tc>
          <w:tcPr>
            <w:tcW w:w="5016" w:type="dxa"/>
          </w:tcPr>
          <w:p w14:paraId="6AD1A4B3" w14:textId="1D58C59A" w:rsidR="00BA0AF1" w:rsidRPr="00BA0AF1" w:rsidRDefault="00BA0AF1" w:rsidP="00BA0AF1">
            <w:pPr>
              <w:rPr>
                <w:b/>
                <w:bCs/>
              </w:rPr>
            </w:pPr>
            <w:r w:rsidRPr="00BA0AF1">
              <w:rPr>
                <w:b/>
                <w:bCs/>
              </w:rPr>
              <w:t xml:space="preserve">Arvestatud osaliselt / Selgitatud. </w:t>
            </w:r>
          </w:p>
          <w:p w14:paraId="52DA1EF0" w14:textId="179E9E88" w:rsidR="00BA0AF1" w:rsidRDefault="005A3E39" w:rsidP="005A3E39">
            <w:r>
              <w:t>(i)</w:t>
            </w:r>
            <w:r w:rsidR="00F8397C">
              <w:t xml:space="preserve"> D</w:t>
            </w:r>
            <w:r w:rsidR="00E03BB3">
              <w:t xml:space="preserve">irektiivi (EL) 2023/2225 nõuetekohaseks ülevõtmiseks on KAVS § 50 lg 3 sõnastust muudetud selliselt, et krediidivõimelisuse hindamisel kasutatud teavet tuleb kontrollida </w:t>
            </w:r>
            <w:r w:rsidR="00E03BB3" w:rsidRPr="005A3E39">
              <w:rPr>
                <w:i/>
                <w:iCs/>
              </w:rPr>
              <w:t>asjakohaselt</w:t>
            </w:r>
            <w:r w:rsidR="00E03BB3">
              <w:t xml:space="preserve">. </w:t>
            </w:r>
            <w:r w:rsidR="00FB6A10">
              <w:t xml:space="preserve">KAVS § 50 </w:t>
            </w:r>
            <w:proofErr w:type="spellStart"/>
            <w:r w:rsidR="00FB6A10">
              <w:t>lg-le</w:t>
            </w:r>
            <w:proofErr w:type="spellEnd"/>
            <w:r w:rsidR="00FB6A10">
              <w:t xml:space="preserve"> 3 viitab juba kehtivas õiguses VÕS § </w:t>
            </w:r>
            <w:r w:rsidR="00957906" w:rsidRPr="00957906">
              <w:t>403</w:t>
            </w:r>
            <w:r w:rsidR="00957906" w:rsidRPr="005A3E39">
              <w:rPr>
                <w:vertAlign w:val="superscript"/>
              </w:rPr>
              <w:t>4</w:t>
            </w:r>
            <w:r w:rsidR="00957906">
              <w:t xml:space="preserve"> </w:t>
            </w:r>
            <w:r w:rsidR="00BC6A41">
              <w:t xml:space="preserve">lg 4. </w:t>
            </w:r>
            <w:r w:rsidR="009F05E9" w:rsidRPr="00957906">
              <w:t>Seost</w:t>
            </w:r>
            <w:r w:rsidR="009F05E9">
              <w:t xml:space="preserve"> VÕS § </w:t>
            </w:r>
            <w:r w:rsidR="00DE7AD8">
              <w:t>403</w:t>
            </w:r>
            <w:r w:rsidR="00DE7AD8" w:rsidRPr="005A3E39">
              <w:rPr>
                <w:vertAlign w:val="superscript"/>
              </w:rPr>
              <w:t>4</w:t>
            </w:r>
            <w:r w:rsidR="00DE7AD8">
              <w:t xml:space="preserve"> </w:t>
            </w:r>
            <w:proofErr w:type="spellStart"/>
            <w:r w:rsidR="00DE7AD8">
              <w:t>lg-ga</w:t>
            </w:r>
            <w:proofErr w:type="spellEnd"/>
            <w:r w:rsidR="00DE7AD8">
              <w:t xml:space="preserve"> </w:t>
            </w:r>
            <w:r w:rsidR="00512B5F">
              <w:t xml:space="preserve">2 ning riskipõhisuse ja proportsionaalsuse põhimõttega on rõhutatud </w:t>
            </w:r>
            <w:r w:rsidR="00BC6A41">
              <w:t>KAVS § 50 lg 3 eelnõu</w:t>
            </w:r>
            <w:r w:rsidR="00512B5F">
              <w:t xml:space="preserve"> seletuskirjas</w:t>
            </w:r>
            <w:r w:rsidR="00F8397C">
              <w:t xml:space="preserve"> (vt ka </w:t>
            </w:r>
            <w:r w:rsidR="0042765A">
              <w:t>Pangaliidu märkus</w:t>
            </w:r>
            <w:r w:rsidR="00C26E9E">
              <w:t xml:space="preserve"> 29</w:t>
            </w:r>
            <w:r w:rsidR="0042765A">
              <w:t xml:space="preserve"> vastust). </w:t>
            </w:r>
          </w:p>
          <w:p w14:paraId="770C4290" w14:textId="6AD498C0" w:rsidR="00BA0AF1" w:rsidRDefault="00BA0AF1" w:rsidP="00CD7FC7"/>
          <w:p w14:paraId="6141FAEA" w14:textId="43702130" w:rsidR="00CD7FC7" w:rsidRDefault="00CD7FC7" w:rsidP="00CD7FC7">
            <w:r>
              <w:t xml:space="preserve">(ii) </w:t>
            </w:r>
            <w:r w:rsidR="00231F32">
              <w:t>Eelnõu seletuskirjas on kredi</w:t>
            </w:r>
            <w:r w:rsidR="00131709">
              <w:t>idivõimelisuse hindamiseks kasutatava teabe kontrollimis</w:t>
            </w:r>
            <w:r w:rsidR="0073734B">
              <w:t>t täpsustatud</w:t>
            </w:r>
            <w:r w:rsidR="00103D6F">
              <w:t xml:space="preserve"> (vt ka Pangaliidu märkus</w:t>
            </w:r>
            <w:r w:rsidR="00C26E9E">
              <w:t xml:space="preserve"> 29 </w:t>
            </w:r>
            <w:r w:rsidR="00103D6F">
              <w:t>vastust)</w:t>
            </w:r>
            <w:r w:rsidR="0073734B">
              <w:t xml:space="preserve">. </w:t>
            </w:r>
          </w:p>
          <w:p w14:paraId="54F9E9C7" w14:textId="77777777" w:rsidR="005A3E39" w:rsidRDefault="005A3E39" w:rsidP="005A3E39"/>
          <w:p w14:paraId="4D32876C" w14:textId="77931BCF" w:rsidR="00685A67" w:rsidRPr="00F2024C" w:rsidRDefault="00CF70AB" w:rsidP="005A3E39">
            <w:r>
              <w:t xml:space="preserve">(iii) </w:t>
            </w:r>
            <w:r w:rsidR="00EE3A24">
              <w:t xml:space="preserve">Direktiivi (EL) 2023/2225 artikli </w:t>
            </w:r>
            <w:r w:rsidR="006471B5">
              <w:t>18 lg 3 ja</w:t>
            </w:r>
            <w:r w:rsidR="00F2024C">
              <w:t xml:space="preserve"> eelnõu kohase</w:t>
            </w:r>
            <w:r w:rsidR="006471B5">
              <w:t xml:space="preserve"> VÕS § </w:t>
            </w:r>
            <w:r w:rsidR="00F2024C">
              <w:t>403</w:t>
            </w:r>
            <w:r w:rsidR="00F2024C">
              <w:rPr>
                <w:vertAlign w:val="superscript"/>
              </w:rPr>
              <w:t>4</w:t>
            </w:r>
            <w:r w:rsidR="00F2024C">
              <w:t xml:space="preserve"> lg </w:t>
            </w:r>
            <w:r w:rsidR="001C274A">
              <w:t xml:space="preserve">3 </w:t>
            </w:r>
            <w:r w:rsidR="00F2024C">
              <w:t xml:space="preserve">järgi on </w:t>
            </w:r>
            <w:r w:rsidR="001C274A">
              <w:t xml:space="preserve">keelatud </w:t>
            </w:r>
            <w:r w:rsidR="00586D14">
              <w:t xml:space="preserve">tarbija krediidivõimeisuse hindamiseks </w:t>
            </w:r>
            <w:r w:rsidR="00B03065">
              <w:t xml:space="preserve">koguda või kasutada </w:t>
            </w:r>
            <w:r w:rsidR="00DF0EF7" w:rsidRPr="5DC1C6D0">
              <w:t>Euroopa Parlamendi ja nõukogu määruse (EL) 2016/679 artikli 9 lõikes 1 nimetatud eriliiki isikuandmeid</w:t>
            </w:r>
            <w:r w:rsidR="00DF0EF7">
              <w:t xml:space="preserve">. </w:t>
            </w:r>
            <w:r w:rsidR="00717C19">
              <w:t xml:space="preserve">Eriliiki isikuandmete töötlemise keelab juba IKÜM artikkel 9 lg 1 ise, kui ei esine vähemalt ühte </w:t>
            </w:r>
            <w:r w:rsidR="008C564B">
              <w:t xml:space="preserve">viidatud artikli </w:t>
            </w:r>
            <w:proofErr w:type="spellStart"/>
            <w:r w:rsidR="008C564B">
              <w:t>lg-s</w:t>
            </w:r>
            <w:proofErr w:type="spellEnd"/>
            <w:r w:rsidR="008C564B">
              <w:t xml:space="preserve"> 2 nimetatud asjaoludest. </w:t>
            </w:r>
          </w:p>
        </w:tc>
      </w:tr>
      <w:tr w:rsidR="00D22FD2" w14:paraId="1B3B1170" w14:textId="77777777" w:rsidTr="00617FBE">
        <w:tc>
          <w:tcPr>
            <w:tcW w:w="576" w:type="dxa"/>
          </w:tcPr>
          <w:p w14:paraId="094D0CE6" w14:textId="3FB618D6" w:rsidR="00AF0E6A" w:rsidRDefault="00C26E9E" w:rsidP="000179B5">
            <w:pPr>
              <w:jc w:val="center"/>
            </w:pPr>
            <w:r>
              <w:lastRenderedPageBreak/>
              <w:t>3</w:t>
            </w:r>
          </w:p>
        </w:tc>
        <w:tc>
          <w:tcPr>
            <w:tcW w:w="5040" w:type="dxa"/>
          </w:tcPr>
          <w:p w14:paraId="6BF484C8" w14:textId="31682A53" w:rsidR="00AF0E6A" w:rsidRPr="00A9701D" w:rsidRDefault="007F266A" w:rsidP="004E257F">
            <w:r>
              <w:t xml:space="preserve">Ettepanek täpsustada, et </w:t>
            </w:r>
            <w:r w:rsidR="00A9701D" w:rsidRPr="00A9701D">
              <w:t>VÕS § 403</w:t>
            </w:r>
            <w:r w:rsidR="00A9701D">
              <w:rPr>
                <w:vertAlign w:val="superscript"/>
              </w:rPr>
              <w:t>4</w:t>
            </w:r>
            <w:r w:rsidR="00A9701D" w:rsidRPr="00A9701D">
              <w:t xml:space="preserve"> lg 11</w:t>
            </w:r>
            <w:r w:rsidR="00A9701D">
              <w:rPr>
                <w:vertAlign w:val="superscript"/>
              </w:rPr>
              <w:t>1</w:t>
            </w:r>
            <w:r w:rsidR="00A9701D">
              <w:t xml:space="preserve"> järgne teavitamiskohustus </w:t>
            </w:r>
            <w:r w:rsidR="006F6D31" w:rsidRPr="006F6D31">
              <w:t>kohaldub üksnes krediidiandja tehtud nega</w:t>
            </w:r>
            <w:r w:rsidR="006F6D31">
              <w:t>tiivse</w:t>
            </w:r>
            <w:r w:rsidR="006F6D31" w:rsidRPr="006F6D31">
              <w:t xml:space="preserve"> automa</w:t>
            </w:r>
            <w:r w:rsidR="006F6D31">
              <w:t>ti</w:t>
            </w:r>
            <w:r w:rsidR="006F6D31" w:rsidRPr="006F6D31">
              <w:t>seeritud otsuse korral ning seda saab täita standardiseeritud teavitusega</w:t>
            </w:r>
            <w:r w:rsidR="006F6D31">
              <w:t xml:space="preserve"> ning </w:t>
            </w:r>
            <w:r w:rsidR="006F6D31" w:rsidRPr="006F6D31">
              <w:t>inimese hinnang tähendab vaidlustatud aspek</w:t>
            </w:r>
            <w:r w:rsidR="006F6D31">
              <w:t>tide</w:t>
            </w:r>
            <w:r w:rsidR="006F6D31" w:rsidRPr="006F6D31">
              <w:t xml:space="preserve"> sisulist ülevaatust ega eelda automaatset täielikku </w:t>
            </w:r>
            <w:proofErr w:type="spellStart"/>
            <w:r w:rsidR="006F6D31" w:rsidRPr="006F6D31">
              <w:t>topeltmenetlust</w:t>
            </w:r>
            <w:proofErr w:type="spellEnd"/>
            <w:r w:rsidR="006F6D31" w:rsidRPr="006F6D31">
              <w:t>.</w:t>
            </w:r>
          </w:p>
        </w:tc>
        <w:tc>
          <w:tcPr>
            <w:tcW w:w="5016" w:type="dxa"/>
          </w:tcPr>
          <w:p w14:paraId="39931FB7" w14:textId="77777777" w:rsidR="00AF0E6A" w:rsidRPr="001C6B7B" w:rsidRDefault="001C6B7B" w:rsidP="000179B5">
            <w:pPr>
              <w:ind w:left="-5"/>
              <w:rPr>
                <w:b/>
                <w:bCs/>
              </w:rPr>
            </w:pPr>
            <w:r w:rsidRPr="001C6B7B">
              <w:rPr>
                <w:b/>
                <w:bCs/>
              </w:rPr>
              <w:t>Arvestatud.</w:t>
            </w:r>
          </w:p>
          <w:p w14:paraId="1E96D376" w14:textId="514A4D48" w:rsidR="001C6B7B" w:rsidRPr="00412371" w:rsidRDefault="001C6B7B" w:rsidP="000179B5">
            <w:pPr>
              <w:ind w:left="-5"/>
            </w:pPr>
            <w:r>
              <w:t xml:space="preserve">Eelnõu seletuskirja on täiendatud. </w:t>
            </w:r>
          </w:p>
        </w:tc>
      </w:tr>
      <w:tr w:rsidR="00D22FD2" w14:paraId="7BD15613" w14:textId="77777777" w:rsidTr="00617FBE">
        <w:tc>
          <w:tcPr>
            <w:tcW w:w="576" w:type="dxa"/>
          </w:tcPr>
          <w:p w14:paraId="56EEAA3E" w14:textId="47E3A0E2" w:rsidR="00EC13B6" w:rsidRDefault="00C26E9E" w:rsidP="000179B5">
            <w:pPr>
              <w:jc w:val="center"/>
            </w:pPr>
            <w:r>
              <w:t>4</w:t>
            </w:r>
          </w:p>
        </w:tc>
        <w:tc>
          <w:tcPr>
            <w:tcW w:w="5040" w:type="dxa"/>
          </w:tcPr>
          <w:p w14:paraId="1D05E012" w14:textId="27E09507" w:rsidR="00EC13B6" w:rsidRDefault="002D2A55" w:rsidP="004E257F">
            <w:r>
              <w:t>Ette</w:t>
            </w:r>
            <w:r w:rsidRPr="002D2A55">
              <w:t>panek VÕS § 403</w:t>
            </w:r>
            <w:r>
              <w:rPr>
                <w:vertAlign w:val="superscript"/>
              </w:rPr>
              <w:t>4</w:t>
            </w:r>
            <w:r>
              <w:t xml:space="preserve"> </w:t>
            </w:r>
            <w:r w:rsidRPr="002D2A55">
              <w:t>lg 10 sõnastada järgmiselt</w:t>
            </w:r>
            <w:r>
              <w:t>: „</w:t>
            </w:r>
            <w:r w:rsidR="00C371A9" w:rsidRPr="001524D7">
              <w:rPr>
                <w:i/>
                <w:iCs/>
              </w:rPr>
              <w:t>Kui otsus jä</w:t>
            </w:r>
            <w:r w:rsidR="005C4A2F" w:rsidRPr="001524D7">
              <w:rPr>
                <w:i/>
                <w:iCs/>
              </w:rPr>
              <w:t>tt</w:t>
            </w:r>
            <w:r w:rsidR="00C371A9" w:rsidRPr="001524D7">
              <w:rPr>
                <w:i/>
                <w:iCs/>
              </w:rPr>
              <w:t>a tarbijaga tarbijakrediidileping sõlmimata põhineb registrist saadud teabel, teatab krediidiandja tarbijale viivitamata ja tasuta registris sooritatud päringu tulemused, kasutatud registri andmed ning arvesse võetud andmete liigi üldisel tasandil.</w:t>
            </w:r>
            <w:r w:rsidR="005C4A2F">
              <w:t>“</w:t>
            </w:r>
          </w:p>
        </w:tc>
        <w:tc>
          <w:tcPr>
            <w:tcW w:w="5016" w:type="dxa"/>
          </w:tcPr>
          <w:p w14:paraId="14A6CDE2" w14:textId="7E9CE16E" w:rsidR="00272AA2" w:rsidRPr="00694364" w:rsidRDefault="001C6B7B" w:rsidP="000179B5">
            <w:pPr>
              <w:ind w:left="-5"/>
              <w:rPr>
                <w:b/>
                <w:bCs/>
              </w:rPr>
            </w:pPr>
            <w:r>
              <w:rPr>
                <w:b/>
                <w:bCs/>
              </w:rPr>
              <w:t>Arvestatud osaliselt.</w:t>
            </w:r>
          </w:p>
          <w:p w14:paraId="0571DA53" w14:textId="6EF2C3B9" w:rsidR="00EC13B6" w:rsidRPr="00412371" w:rsidRDefault="006924D1" w:rsidP="00F20A71">
            <w:pPr>
              <w:ind w:left="-5"/>
            </w:pPr>
            <w:r>
              <w:t xml:space="preserve">Eelnõu seletuskirja on tehtud täpsustus, et andmete liik ei hõlma tehnilisi andmeid. </w:t>
            </w:r>
          </w:p>
        </w:tc>
      </w:tr>
      <w:tr w:rsidR="00D22FD2" w14:paraId="482A95AA" w14:textId="77777777" w:rsidTr="00617FBE">
        <w:tc>
          <w:tcPr>
            <w:tcW w:w="576" w:type="dxa"/>
          </w:tcPr>
          <w:p w14:paraId="02A22E82" w14:textId="029FE176" w:rsidR="00224F70" w:rsidRDefault="00C26E9E" w:rsidP="000179B5">
            <w:pPr>
              <w:jc w:val="center"/>
            </w:pPr>
            <w:r>
              <w:t>5</w:t>
            </w:r>
          </w:p>
        </w:tc>
        <w:tc>
          <w:tcPr>
            <w:tcW w:w="5040" w:type="dxa"/>
          </w:tcPr>
          <w:p w14:paraId="30210681" w14:textId="37ECF33D" w:rsidR="00224F70" w:rsidRDefault="00687899" w:rsidP="004E257F">
            <w:r w:rsidRPr="00687899">
              <w:t>E</w:t>
            </w:r>
            <w:r>
              <w:t>tt</w:t>
            </w:r>
            <w:r w:rsidRPr="00687899">
              <w:t xml:space="preserve">epanek täpsustada eelnõu selliselt, et veebikeskkonnas krediiditaotluse esitamisel loetakse tarbija poolt valitud püsivaks andmekandjaks elektrooniline suhtlusviis ning krediidiandja võib esitada lepingueelse teabe elektrooniliselt esitatud ja tarbija poolt </w:t>
            </w:r>
            <w:proofErr w:type="spellStart"/>
            <w:r w:rsidRPr="00687899">
              <w:t>allalaaditava</w:t>
            </w:r>
            <w:proofErr w:type="spellEnd"/>
            <w:r w:rsidRPr="00687899">
              <w:t xml:space="preserve"> ning salvestatava dokumendina (nt PDF). Sellisel juhul on teave esitatud tarbija kasutatavas suhtluskanalis, dokument on taasesitatav ja talletatav ning püsiva andmekandja nõue on sisuliselt täidetud. Tarbijal peaks siiski säilima võimalus taotleda teabe edastamist muul püsival andmekandjal, sealhulgas paberil.</w:t>
            </w:r>
          </w:p>
          <w:p w14:paraId="70BD0D7B" w14:textId="3F1F898E" w:rsidR="0075659F" w:rsidRDefault="0075659F" w:rsidP="004E257F">
            <w:r w:rsidRPr="0075659F">
              <w:t>Samu</w:t>
            </w:r>
            <w:r w:rsidR="008533B3">
              <w:t>ti</w:t>
            </w:r>
            <w:r w:rsidRPr="0075659F">
              <w:t xml:space="preserve"> tuleks eelnõus või seletuskirjas selgelt sätestada, et krediidiandjal on õigus pakkuda tarbijale mõistlikke ja tehniliselt kasutatavaid püsiva andmekandja vorme</w:t>
            </w:r>
            <w:r w:rsidR="008533B3">
              <w:t xml:space="preserve">. </w:t>
            </w:r>
          </w:p>
          <w:p w14:paraId="22DEF377" w14:textId="219B59E2" w:rsidR="008533B3" w:rsidRDefault="008533B3" w:rsidP="004E257F">
            <w:r w:rsidRPr="008533B3">
              <w:t>Juhul kui tarbija viibib füüsiliselt krediidiandja majandus- või kutsetegevuse kohas või e</w:t>
            </w:r>
            <w:r>
              <w:t>tt</w:t>
            </w:r>
            <w:r w:rsidRPr="008533B3">
              <w:t>evõtja tegevuskohas (nt järelmaksuga ost poes), peaks tarbijal olema võimalus valida, kas teabeleht esitatakse talle paberil või muul tema valitud püsival andmekandjal (nt e</w:t>
            </w:r>
            <w:r>
              <w:t>-</w:t>
            </w:r>
            <w:r w:rsidRPr="008533B3">
              <w:t>post, PDF).</w:t>
            </w:r>
          </w:p>
        </w:tc>
        <w:tc>
          <w:tcPr>
            <w:tcW w:w="5016" w:type="dxa"/>
          </w:tcPr>
          <w:p w14:paraId="5BCBFF76" w14:textId="38022C44" w:rsidR="00DB53FA" w:rsidRPr="00832188" w:rsidRDefault="00000065" w:rsidP="000179B5">
            <w:pPr>
              <w:ind w:left="-5"/>
              <w:rPr>
                <w:b/>
                <w:bCs/>
              </w:rPr>
            </w:pPr>
            <w:r w:rsidRPr="00832188">
              <w:rPr>
                <w:b/>
                <w:bCs/>
              </w:rPr>
              <w:t xml:space="preserve">Arvestatud osaliselt / Selgitatud. </w:t>
            </w:r>
          </w:p>
          <w:p w14:paraId="6439DCFA" w14:textId="6BBB67F0" w:rsidR="00B4116C" w:rsidRPr="00832188" w:rsidRDefault="00C73FB9" w:rsidP="000179B5">
            <w:pPr>
              <w:ind w:left="-5"/>
            </w:pPr>
            <w:r w:rsidRPr="00832188">
              <w:t>Ülevõetavate sätete ja direktiivi eesmärk on anda tarbijale terviklik vali</w:t>
            </w:r>
            <w:r w:rsidR="000B4F9B" w:rsidRPr="00832188">
              <w:t xml:space="preserve">k selle osas, millisel moel talle teavet edastatakse. Sellest tulenevalt ei ole direktiivi eesmärgiga kooskõlas selline tõlgendus, </w:t>
            </w:r>
            <w:r w:rsidR="00514718" w:rsidRPr="00832188">
              <w:t xml:space="preserve">mille kohaselt saab </w:t>
            </w:r>
            <w:r w:rsidR="00C91B04" w:rsidRPr="00832188">
              <w:t>veebikeskkonnas krediiditaotluse esitamisel krediidiandja eeldada, et see on ka edasp</w:t>
            </w:r>
            <w:r w:rsidR="00BE0568" w:rsidRPr="00832188">
              <w:t xml:space="preserve">idisel teabe </w:t>
            </w:r>
            <w:r w:rsidR="00857F31" w:rsidRPr="00832188">
              <w:t>edastamisel</w:t>
            </w:r>
            <w:r w:rsidR="00BE0568" w:rsidRPr="00832188">
              <w:t xml:space="preserve"> </w:t>
            </w:r>
            <w:r w:rsidR="005E5FC2" w:rsidRPr="00832188">
              <w:t>t</w:t>
            </w:r>
            <w:r w:rsidR="00B66E2E" w:rsidRPr="00832188">
              <w:t>arbija valik. Ka Euroopa Komisjon on eeltoodut rõhutanud</w:t>
            </w:r>
            <w:r w:rsidR="00A363AE" w:rsidRPr="00832188">
              <w:t xml:space="preserve"> ning selgitanud, et tarbijal peab olema võimalus vastav valik teha enne teabe saamist. Seejuures ei ole seega ka vahet, kas </w:t>
            </w:r>
            <w:r w:rsidR="00214930" w:rsidRPr="00832188">
              <w:t>taotlus krediidi saamiseks on tehtud veebikeskkonnas v</w:t>
            </w:r>
            <w:r w:rsidR="002A1AEF" w:rsidRPr="00832188">
              <w:t xml:space="preserve">õi viibides füüsiliselt krediidiandja majandus- või kutsetegevuse kohas või ettevõtja tegevuskohas. </w:t>
            </w:r>
          </w:p>
          <w:p w14:paraId="5E2EE596" w14:textId="6E147273" w:rsidR="0033597A" w:rsidRPr="00832188" w:rsidRDefault="00955A35" w:rsidP="00832188">
            <w:pPr>
              <w:ind w:left="-5"/>
              <w:rPr>
                <w:highlight w:val="yellow"/>
              </w:rPr>
            </w:pPr>
            <w:r w:rsidRPr="00832188">
              <w:t>VÕS § 403</w:t>
            </w:r>
            <w:r w:rsidRPr="00832188">
              <w:rPr>
                <w:vertAlign w:val="superscript"/>
              </w:rPr>
              <w:t>1</w:t>
            </w:r>
            <w:r w:rsidRPr="00832188">
              <w:t xml:space="preserve"> lg 1 </w:t>
            </w:r>
            <w:r w:rsidR="00AC66B9" w:rsidRPr="00832188">
              <w:t xml:space="preserve">eelnõu seletuskirjas on viidatud direktiivi põhjusele </w:t>
            </w:r>
            <w:r w:rsidR="00230DB0" w:rsidRPr="00832188">
              <w:t xml:space="preserve">34 </w:t>
            </w:r>
            <w:r w:rsidR="00980E3D" w:rsidRPr="00832188">
              <w:t>ja selgitatud,</w:t>
            </w:r>
            <w:r w:rsidR="00967C4E" w:rsidRPr="00832188">
              <w:t xml:space="preserve"> et </w:t>
            </w:r>
            <w:r w:rsidR="008E7518" w:rsidRPr="00832188">
              <w:t>tarbijatel ei tohiks siiski olla võimalik teatada taganemisest ja nõuda krediidiandjatelt teabe esitamist sellist liiki püsivatel andmekandjatel, mida üldjuhul ei kasutata</w:t>
            </w:r>
            <w:r w:rsidR="001229C3" w:rsidRPr="00832188">
              <w:t>. Sinna juurde lisatakse selgitus, et andmekandja peab sellest tulenevalt olema m</w:t>
            </w:r>
            <w:r w:rsidR="00000065" w:rsidRPr="00832188">
              <w:t xml:space="preserve">õistlik ja tehniliselt kasutatav. </w:t>
            </w:r>
            <w:r w:rsidR="4F63F9B4">
              <w:t xml:space="preserve"> </w:t>
            </w:r>
          </w:p>
        </w:tc>
      </w:tr>
      <w:tr w:rsidR="00D22FD2" w14:paraId="25EDB790" w14:textId="77777777" w:rsidTr="00617FBE">
        <w:tc>
          <w:tcPr>
            <w:tcW w:w="576" w:type="dxa"/>
          </w:tcPr>
          <w:p w14:paraId="1868E373" w14:textId="4A9919CC" w:rsidR="001464B2" w:rsidRDefault="00C26E9E" w:rsidP="000179B5">
            <w:pPr>
              <w:jc w:val="center"/>
            </w:pPr>
            <w:r>
              <w:t>6</w:t>
            </w:r>
          </w:p>
        </w:tc>
        <w:tc>
          <w:tcPr>
            <w:tcW w:w="5040" w:type="dxa"/>
          </w:tcPr>
          <w:p w14:paraId="24ABAE15" w14:textId="77777777" w:rsidR="008F63B0" w:rsidRDefault="008F63B0" w:rsidP="004E257F">
            <w:r w:rsidRPr="008F63B0">
              <w:t>E</w:t>
            </w:r>
            <w:r>
              <w:t>tt</w:t>
            </w:r>
            <w:r w:rsidRPr="008F63B0">
              <w:t>epanekud:</w:t>
            </w:r>
          </w:p>
          <w:p w14:paraId="512D9A6D" w14:textId="5718FFAC" w:rsidR="008F63B0" w:rsidRDefault="008F63B0" w:rsidP="008F63B0">
            <w:r>
              <w:t xml:space="preserve">(i) </w:t>
            </w:r>
            <w:r w:rsidRPr="008F63B0">
              <w:t>ühtlustada terminoloogia seaduseelnõus ja standardinfo teabelehe näidises (nt kasutada mõlemas „hilinenud makse“ või „viivitatud makse“); või</w:t>
            </w:r>
          </w:p>
          <w:p w14:paraId="0AEA7DEF" w14:textId="5098106F" w:rsidR="00F130DF" w:rsidRPr="00687899" w:rsidRDefault="008F63B0" w:rsidP="008F63B0">
            <w:r>
              <w:t xml:space="preserve">(ii) </w:t>
            </w:r>
            <w:r w:rsidRPr="008F63B0">
              <w:t>selgitada seletuskirjas, et mõlemad mõisted on kasutatud samas tähenduses ning et VÕS § 403¹ lg 1 p 10 nõue loetakse täidetuks juhul, kui vastav teave sisaldub Euroopa standardinfo teabelehel</w:t>
            </w:r>
            <w:r>
              <w:t xml:space="preserve">. </w:t>
            </w:r>
          </w:p>
        </w:tc>
        <w:tc>
          <w:tcPr>
            <w:tcW w:w="5016" w:type="dxa"/>
          </w:tcPr>
          <w:p w14:paraId="32A7D2D9" w14:textId="77777777" w:rsidR="00051E3B" w:rsidRPr="00E310C1" w:rsidRDefault="00E310C1" w:rsidP="00E20CE3">
            <w:pPr>
              <w:ind w:left="-5"/>
              <w:rPr>
                <w:b/>
                <w:bCs/>
              </w:rPr>
            </w:pPr>
            <w:r w:rsidRPr="00E310C1">
              <w:rPr>
                <w:b/>
                <w:bCs/>
              </w:rPr>
              <w:t>Arvestatud.</w:t>
            </w:r>
          </w:p>
          <w:p w14:paraId="60EE02C9" w14:textId="5B27E81D" w:rsidR="00E310C1" w:rsidRPr="00412371" w:rsidRDefault="00E310C1" w:rsidP="00E20CE3">
            <w:pPr>
              <w:ind w:left="-5"/>
            </w:pPr>
            <w:r>
              <w:t xml:space="preserve">Eelnõu seletuskirja on täiendatud. </w:t>
            </w:r>
          </w:p>
        </w:tc>
      </w:tr>
      <w:tr w:rsidR="00D22FD2" w14:paraId="2F6178F2" w14:textId="77777777" w:rsidTr="00617FBE">
        <w:tc>
          <w:tcPr>
            <w:tcW w:w="576" w:type="dxa"/>
          </w:tcPr>
          <w:p w14:paraId="33C55782" w14:textId="6E7F8E36" w:rsidR="00323339" w:rsidRDefault="00C26E9E" w:rsidP="000179B5">
            <w:pPr>
              <w:jc w:val="center"/>
            </w:pPr>
            <w:r>
              <w:t>7</w:t>
            </w:r>
          </w:p>
        </w:tc>
        <w:tc>
          <w:tcPr>
            <w:tcW w:w="5040" w:type="dxa"/>
          </w:tcPr>
          <w:p w14:paraId="34BAF71C" w14:textId="7C06CCC6" w:rsidR="00323339" w:rsidRDefault="009B44F7" w:rsidP="004E257F">
            <w:r w:rsidRPr="009B44F7">
              <w:t>E</w:t>
            </w:r>
            <w:r>
              <w:t xml:space="preserve">ttepanek </w:t>
            </w:r>
            <w:r w:rsidRPr="009B44F7">
              <w:t xml:space="preserve">kaaluda </w:t>
            </w:r>
            <w:r w:rsidR="00351065" w:rsidRPr="00351065">
              <w:t>VÕS § 403¹ lõige 1 punkt</w:t>
            </w:r>
            <w:r w:rsidR="00351065">
              <w:t>is</w:t>
            </w:r>
            <w:r w:rsidR="00351065" w:rsidRPr="00351065">
              <w:t xml:space="preserve"> 12</w:t>
            </w:r>
            <w:r w:rsidR="00351065">
              <w:t xml:space="preserve"> ja </w:t>
            </w:r>
            <w:r w:rsidR="003657C5">
              <w:t xml:space="preserve">standardinfo teabelehes </w:t>
            </w:r>
            <w:r w:rsidRPr="009B44F7">
              <w:t xml:space="preserve">terminoloogia ühtlustamist selliselt, et nii seaduseelnõus kui ka </w:t>
            </w:r>
            <w:r w:rsidRPr="009B44F7">
              <w:lastRenderedPageBreak/>
              <w:t>standardinfo teabelehe näidises kasutataks sama mõistet</w:t>
            </w:r>
            <w:r w:rsidR="003657C5">
              <w:t xml:space="preserve">. </w:t>
            </w:r>
          </w:p>
        </w:tc>
        <w:tc>
          <w:tcPr>
            <w:tcW w:w="5016" w:type="dxa"/>
          </w:tcPr>
          <w:p w14:paraId="22714EDE" w14:textId="11F7228E" w:rsidR="00E310C1" w:rsidRPr="006C3280" w:rsidRDefault="004E1F3C" w:rsidP="000179B5">
            <w:pPr>
              <w:ind w:left="-5"/>
              <w:rPr>
                <w:b/>
                <w:bCs/>
              </w:rPr>
            </w:pPr>
            <w:r w:rsidRPr="006C3280">
              <w:rPr>
                <w:b/>
                <w:bCs/>
              </w:rPr>
              <w:lastRenderedPageBreak/>
              <w:t xml:space="preserve">Mittearvestatud. </w:t>
            </w:r>
          </w:p>
          <w:p w14:paraId="03A6C1B2" w14:textId="6C6FEEB2" w:rsidR="00323339" w:rsidRPr="00412371" w:rsidRDefault="00BD73E7" w:rsidP="006C3280">
            <w:r>
              <w:t xml:space="preserve">Nii </w:t>
            </w:r>
            <w:r w:rsidRPr="00BD73E7">
              <w:t>VÕS § 403</w:t>
            </w:r>
            <w:r w:rsidR="00CC1F8F">
              <w:rPr>
                <w:vertAlign w:val="superscript"/>
              </w:rPr>
              <w:t>1</w:t>
            </w:r>
            <w:r w:rsidRPr="00BD73E7">
              <w:t xml:space="preserve"> lõige 1 punkt 12</w:t>
            </w:r>
            <w:r>
              <w:t xml:space="preserve"> kui ka teabeleht kasutavad mõistet „taganemisõigus“ – see ei muutu </w:t>
            </w:r>
            <w:r w:rsidR="00CC1F8F" w:rsidRPr="00BD73E7">
              <w:t>VÕS § 403</w:t>
            </w:r>
            <w:r w:rsidR="00CC1F8F">
              <w:rPr>
                <w:vertAlign w:val="superscript"/>
              </w:rPr>
              <w:t>1</w:t>
            </w:r>
            <w:r w:rsidR="00CC1F8F" w:rsidRPr="00BD73E7">
              <w:t xml:space="preserve"> lõige 1 punkt</w:t>
            </w:r>
            <w:r w:rsidR="00CC1F8F">
              <w:t>i</w:t>
            </w:r>
            <w:r w:rsidR="00CC1F8F" w:rsidRPr="00BD73E7">
              <w:t xml:space="preserve"> 12</w:t>
            </w:r>
            <w:r w:rsidR="00CC1F8F">
              <w:t xml:space="preserve"> </w:t>
            </w:r>
            <w:r w:rsidR="00CC1F8F">
              <w:lastRenderedPageBreak/>
              <w:t>täiendamisega, mille kohaselt tuleb teavitada ka taganemistähtajast</w:t>
            </w:r>
            <w:r w:rsidR="006C3280">
              <w:t>. Seega on terminoloogia ühtne.</w:t>
            </w:r>
          </w:p>
        </w:tc>
      </w:tr>
      <w:tr w:rsidR="00D22FD2" w14:paraId="0D9C2B9A" w14:textId="77777777" w:rsidTr="00617FBE">
        <w:tc>
          <w:tcPr>
            <w:tcW w:w="576" w:type="dxa"/>
          </w:tcPr>
          <w:p w14:paraId="77AEE316" w14:textId="2E7F9C10" w:rsidR="006B2FD6" w:rsidRDefault="00C26E9E" w:rsidP="000179B5">
            <w:pPr>
              <w:jc w:val="center"/>
            </w:pPr>
            <w:r>
              <w:lastRenderedPageBreak/>
              <w:t>8</w:t>
            </w:r>
          </w:p>
        </w:tc>
        <w:tc>
          <w:tcPr>
            <w:tcW w:w="5040" w:type="dxa"/>
          </w:tcPr>
          <w:p w14:paraId="0B4AC9A4" w14:textId="49E509C4" w:rsidR="006B2FD6" w:rsidRPr="009B44F7" w:rsidRDefault="00531001" w:rsidP="004E257F">
            <w:r w:rsidRPr="00531001">
              <w:t>E</w:t>
            </w:r>
            <w:r>
              <w:t>tt</w:t>
            </w:r>
            <w:r w:rsidRPr="00531001">
              <w:t>epanek</w:t>
            </w:r>
            <w:r>
              <w:t xml:space="preserve"> </w:t>
            </w:r>
            <w:r w:rsidRPr="00531001">
              <w:t xml:space="preserve">täpsustada </w:t>
            </w:r>
            <w:r w:rsidR="0080384E" w:rsidRPr="0080384E">
              <w:t>VÕS § 403</w:t>
            </w:r>
            <w:r w:rsidR="00872D23">
              <w:rPr>
                <w:vertAlign w:val="superscript"/>
              </w:rPr>
              <w:t>1</w:t>
            </w:r>
            <w:r w:rsidR="0080384E" w:rsidRPr="0080384E">
              <w:t xml:space="preserve"> lõige 2 punkt</w:t>
            </w:r>
            <w:r w:rsidR="0080384E">
              <w:t xml:space="preserve">i </w:t>
            </w:r>
            <w:r w:rsidR="0080384E" w:rsidRPr="0080384E">
              <w:t>15</w:t>
            </w:r>
            <w:r w:rsidR="0080384E">
              <w:t xml:space="preserve"> </w:t>
            </w:r>
            <w:r w:rsidRPr="00531001">
              <w:t xml:space="preserve">eelnõu sõnastust või seletuskirja selliselt, et oleks selge, et teabelehel tuleb esitada üksnes teave tarbija õigusest saada krediidivõimelisuse hindamisel kasutatud andmeid, </w:t>
            </w:r>
            <w:r w:rsidR="006B5FA4">
              <w:t>mitte</w:t>
            </w:r>
            <w:r w:rsidRPr="00531001">
              <w:t xml:space="preserve"> nende andmete loetelu</w:t>
            </w:r>
            <w:r w:rsidR="006F215B">
              <w:t>.</w:t>
            </w:r>
          </w:p>
        </w:tc>
        <w:tc>
          <w:tcPr>
            <w:tcW w:w="5016" w:type="dxa"/>
          </w:tcPr>
          <w:p w14:paraId="18D10548" w14:textId="3E7321B4" w:rsidR="006B2FD6" w:rsidRPr="001D673D" w:rsidRDefault="00270449" w:rsidP="000179B5">
            <w:pPr>
              <w:ind w:left="-5"/>
              <w:rPr>
                <w:b/>
                <w:bCs/>
              </w:rPr>
            </w:pPr>
            <w:r w:rsidRPr="001D673D">
              <w:rPr>
                <w:b/>
                <w:bCs/>
              </w:rPr>
              <w:t>Arvestatud</w:t>
            </w:r>
            <w:r w:rsidR="001D673D" w:rsidRPr="001D673D">
              <w:rPr>
                <w:b/>
                <w:bCs/>
              </w:rPr>
              <w:t>.</w:t>
            </w:r>
          </w:p>
          <w:p w14:paraId="4F265BCA" w14:textId="69DA2C27" w:rsidR="00270449" w:rsidRPr="00412371" w:rsidRDefault="00270449" w:rsidP="000179B5">
            <w:pPr>
              <w:ind w:left="-5"/>
            </w:pPr>
            <w:r>
              <w:t>Eelnõu seletuskirja on</w:t>
            </w:r>
            <w:r w:rsidR="001D673D">
              <w:t xml:space="preserve"> täiendatud. </w:t>
            </w:r>
          </w:p>
        </w:tc>
      </w:tr>
      <w:tr w:rsidR="00D22FD2" w14:paraId="2BAD6161" w14:textId="77777777" w:rsidTr="00617FBE">
        <w:tc>
          <w:tcPr>
            <w:tcW w:w="576" w:type="dxa"/>
          </w:tcPr>
          <w:p w14:paraId="71B12DC7" w14:textId="684025C7" w:rsidR="00C95F10" w:rsidRDefault="007A679D" w:rsidP="000179B5">
            <w:pPr>
              <w:jc w:val="center"/>
            </w:pPr>
            <w:r>
              <w:t>9</w:t>
            </w:r>
          </w:p>
        </w:tc>
        <w:tc>
          <w:tcPr>
            <w:tcW w:w="5040" w:type="dxa"/>
          </w:tcPr>
          <w:p w14:paraId="35362D85" w14:textId="6A85D7A0" w:rsidR="00C95F10" w:rsidRPr="007B0268" w:rsidRDefault="002F70F4" w:rsidP="004E257F">
            <w:r>
              <w:t>Ettepanek täpsustada</w:t>
            </w:r>
            <w:r w:rsidR="0071399A">
              <w:t xml:space="preserve"> VÕS § 403</w:t>
            </w:r>
            <w:r w:rsidR="0071399A" w:rsidRPr="55CB3681">
              <w:rPr>
                <w:vertAlign w:val="superscript"/>
              </w:rPr>
              <w:t>1</w:t>
            </w:r>
            <w:r w:rsidR="0071399A">
              <w:t xml:space="preserve"> lõige 2 punkti 20</w:t>
            </w:r>
            <w:r>
              <w:t xml:space="preserve"> eelnõud või seletuskirja selliselt, et tagasimaksegraafikut oleks võimalik esitada lepinguproje</w:t>
            </w:r>
            <w:r w:rsidR="0071399A">
              <w:t>kti</w:t>
            </w:r>
            <w:r>
              <w:t xml:space="preserve"> osana või vajaduse korral teabelehe lisana ning selgitada, millistel eeldustel tuleb tagasimaksegraafik koostada olukorras, kus tarbija ei ole eelnevalt esitanud eelistatud lepingu</w:t>
            </w:r>
            <w:r w:rsidR="0071399A">
              <w:t xml:space="preserve">tingimusi. </w:t>
            </w:r>
          </w:p>
        </w:tc>
        <w:tc>
          <w:tcPr>
            <w:tcW w:w="5016" w:type="dxa"/>
          </w:tcPr>
          <w:p w14:paraId="0EAD02FC" w14:textId="389026CB" w:rsidR="008F5877" w:rsidRPr="0090503F" w:rsidRDefault="0090503F" w:rsidP="000179B5">
            <w:pPr>
              <w:ind w:left="-5"/>
              <w:rPr>
                <w:b/>
                <w:bCs/>
              </w:rPr>
            </w:pPr>
            <w:r w:rsidRPr="0090503F">
              <w:rPr>
                <w:b/>
                <w:bCs/>
              </w:rPr>
              <w:t xml:space="preserve">Arvestatud. </w:t>
            </w:r>
          </w:p>
          <w:p w14:paraId="381E47B3" w14:textId="0C38041C" w:rsidR="008F5877" w:rsidRDefault="0090503F" w:rsidP="0090503F">
            <w:r>
              <w:t>Eelnõu seletuskirja lisatud selgitus, mille kohaselt võib tagasimaksegraafiku esitada ka teabelehe lõpus või selle lisana. Teisisõnu, see ei pea mahtuma teabelehel esitatud tabeli paremasse veergu, vaid võib olla eraldiseisvalt vormistatud.</w:t>
            </w:r>
          </w:p>
          <w:p w14:paraId="7A7D1577" w14:textId="62537F84" w:rsidR="00C95F10" w:rsidRPr="00412371" w:rsidRDefault="005E74C3" w:rsidP="006C0C97">
            <w:r>
              <w:t>Eelnõu seletuskirja on lisatud selgitus ka selle kohta, millistel eeldustel tuleb vastav tagasimaksegraafik koostada (vt ka Pangaliidu mär</w:t>
            </w:r>
            <w:r w:rsidR="008130B4">
              <w:t xml:space="preserve">kus </w:t>
            </w:r>
            <w:r w:rsidR="007A679D">
              <w:t>9</w:t>
            </w:r>
            <w:r w:rsidR="008130B4" w:rsidRPr="00CB54C6">
              <w:t xml:space="preserve"> </w:t>
            </w:r>
            <w:r w:rsidR="00CB54C6">
              <w:t xml:space="preserve">vastust). </w:t>
            </w:r>
          </w:p>
        </w:tc>
      </w:tr>
      <w:tr w:rsidR="00D22FD2" w14:paraId="6195B3CA" w14:textId="77777777" w:rsidTr="00617FBE">
        <w:tc>
          <w:tcPr>
            <w:tcW w:w="576" w:type="dxa"/>
          </w:tcPr>
          <w:p w14:paraId="25869369" w14:textId="219FDDD1" w:rsidR="00B9350D" w:rsidRDefault="007A679D" w:rsidP="000179B5">
            <w:pPr>
              <w:jc w:val="center"/>
            </w:pPr>
            <w:r>
              <w:t>10</w:t>
            </w:r>
          </w:p>
        </w:tc>
        <w:tc>
          <w:tcPr>
            <w:tcW w:w="5040" w:type="dxa"/>
          </w:tcPr>
          <w:p w14:paraId="36D1F14C" w14:textId="290EA068" w:rsidR="00B9350D" w:rsidRPr="002F70F4" w:rsidRDefault="00B9350D" w:rsidP="004E257F">
            <w:r w:rsidRPr="00B9350D">
              <w:t>E</w:t>
            </w:r>
            <w:r>
              <w:t>tt</w:t>
            </w:r>
            <w:r w:rsidRPr="00B9350D">
              <w:t>epanek</w:t>
            </w:r>
            <w:r>
              <w:t xml:space="preserve"> </w:t>
            </w:r>
            <w:r w:rsidRPr="00B9350D">
              <w:t xml:space="preserve">täpsustada </w:t>
            </w:r>
            <w:r w:rsidR="001022BC" w:rsidRPr="001022BC">
              <w:t>VÕS § 403</w:t>
            </w:r>
            <w:r w:rsidR="001022BC">
              <w:rPr>
                <w:vertAlign w:val="superscript"/>
              </w:rPr>
              <w:t>1</w:t>
            </w:r>
            <w:r w:rsidR="001022BC" w:rsidRPr="001022BC">
              <w:t xml:space="preserve"> lõige 2</w:t>
            </w:r>
            <w:r w:rsidR="001022BC">
              <w:rPr>
                <w:vertAlign w:val="superscript"/>
              </w:rPr>
              <w:t>1</w:t>
            </w:r>
            <w:r w:rsidR="001022BC">
              <w:t xml:space="preserve"> </w:t>
            </w:r>
            <w:r w:rsidRPr="00B9350D">
              <w:t>eelnõu seletuskirjas, mida mõistetakse käesolevas sä</w:t>
            </w:r>
            <w:r>
              <w:t>tt</w:t>
            </w:r>
            <w:r w:rsidRPr="00B9350D">
              <w:t>es „ühe päeva“ all, sh kas tegemist on 24-tunnise ajavahemikuga või kalendripäevaga</w:t>
            </w:r>
            <w:r w:rsidR="001022BC">
              <w:t xml:space="preserve">. </w:t>
            </w:r>
          </w:p>
        </w:tc>
        <w:tc>
          <w:tcPr>
            <w:tcW w:w="5016" w:type="dxa"/>
          </w:tcPr>
          <w:p w14:paraId="4714314A" w14:textId="43B0010D" w:rsidR="006C0C97" w:rsidRPr="006C0C97" w:rsidRDefault="006C0C97" w:rsidP="000179B5">
            <w:pPr>
              <w:ind w:left="-5"/>
              <w:rPr>
                <w:b/>
                <w:bCs/>
              </w:rPr>
            </w:pPr>
            <w:r w:rsidRPr="006C0C97">
              <w:rPr>
                <w:b/>
                <w:bCs/>
              </w:rPr>
              <w:t>Selgitatud.</w:t>
            </w:r>
          </w:p>
          <w:p w14:paraId="2F22B565" w14:textId="1D9CEAB1" w:rsidR="00B9350D" w:rsidRPr="00412371" w:rsidRDefault="006C0C97" w:rsidP="006C0C97">
            <w:pPr>
              <w:ind w:left="-5"/>
            </w:pPr>
            <w:r>
              <w:t xml:space="preserve">Silmas on </w:t>
            </w:r>
            <w:r w:rsidR="009C13E8">
              <w:t>ühte 24 tunnist koosnevat päeva</w:t>
            </w:r>
            <w:r>
              <w:t xml:space="preserve">. Antud täpsustus on lisatud ka eelnõu seletuskirja. </w:t>
            </w:r>
          </w:p>
        </w:tc>
      </w:tr>
      <w:tr w:rsidR="00D22FD2" w14:paraId="6CCF561F" w14:textId="77777777" w:rsidTr="00617FBE">
        <w:tc>
          <w:tcPr>
            <w:tcW w:w="576" w:type="dxa"/>
          </w:tcPr>
          <w:p w14:paraId="3AB820A4" w14:textId="54AD7E42" w:rsidR="005F686F" w:rsidRDefault="007A679D" w:rsidP="000179B5">
            <w:pPr>
              <w:jc w:val="center"/>
            </w:pPr>
            <w:r>
              <w:t>11</w:t>
            </w:r>
          </w:p>
        </w:tc>
        <w:tc>
          <w:tcPr>
            <w:tcW w:w="5040" w:type="dxa"/>
          </w:tcPr>
          <w:p w14:paraId="44C8F6A4" w14:textId="0D273F93" w:rsidR="005F686F" w:rsidRPr="00B9350D" w:rsidRDefault="00D43645" w:rsidP="004E257F">
            <w:r w:rsidRPr="00D43645">
              <w:t>E</w:t>
            </w:r>
            <w:r>
              <w:t>tt</w:t>
            </w:r>
            <w:r w:rsidRPr="00D43645">
              <w:t>epanek</w:t>
            </w:r>
            <w:r>
              <w:t xml:space="preserve"> </w:t>
            </w:r>
            <w:r w:rsidRPr="00D43645">
              <w:t xml:space="preserve">täpsustada </w:t>
            </w:r>
            <w:r w:rsidR="00E255F7" w:rsidRPr="00E255F7">
              <w:t>VÕS § 403</w:t>
            </w:r>
            <w:r w:rsidR="00E255F7">
              <w:rPr>
                <w:vertAlign w:val="superscript"/>
              </w:rPr>
              <w:t>4</w:t>
            </w:r>
            <w:r w:rsidR="00E255F7" w:rsidRPr="00E255F7">
              <w:t xml:space="preserve"> lg</w:t>
            </w:r>
            <w:r w:rsidR="007533A3">
              <w:t xml:space="preserve"> 11</w:t>
            </w:r>
            <w:r w:rsidR="00E255F7" w:rsidRPr="00E255F7">
              <w:t xml:space="preserve"> </w:t>
            </w:r>
            <w:r w:rsidR="00E255F7">
              <w:t xml:space="preserve">ja </w:t>
            </w:r>
            <w:r w:rsidR="00E255F7" w:rsidRPr="00E255F7">
              <w:t>VÕS § 404 lg 2 p 15</w:t>
            </w:r>
            <w:r w:rsidR="00E255F7">
              <w:t xml:space="preserve"> </w:t>
            </w:r>
            <w:r w:rsidRPr="00D43645">
              <w:t xml:space="preserve">eelnõu sõnastust või seletuskirja selliselt, et krediidiandja täidab vastava teavitamiskohustuse standardiseeritud viitega riigi või muu pädeva asutuse hallatavale ametlikule </w:t>
            </w:r>
            <w:proofErr w:type="spellStart"/>
            <w:r w:rsidRPr="00D43645">
              <w:t>võlanõustamisteenuse</w:t>
            </w:r>
            <w:proofErr w:type="spellEnd"/>
            <w:r w:rsidRPr="00D43645">
              <w:t xml:space="preserve"> osutajate nimekirjale (nt veebilehele), selle asemel, et esitada lepingus või muus dokumendis konkreetne ja pidevalt ajakohastamist vajav konta</w:t>
            </w:r>
            <w:r w:rsidR="00161448">
              <w:t>kti</w:t>
            </w:r>
            <w:r w:rsidRPr="00D43645">
              <w:t>loend ning ilma et krediidiandjal tekiks kohustus hinnata iga tarbija individuaalset sotsiaalset olukorda või tagada teenuse tegelik kasutamine. Selline täpsustus aitaks väl</w:t>
            </w:r>
            <w:r w:rsidR="00161448">
              <w:t>ti</w:t>
            </w:r>
            <w:r w:rsidRPr="00D43645">
              <w:t>da erinevat tõlgendamist ning toetaks proportsionaalset ja ühtset rakendusprak</w:t>
            </w:r>
            <w:r w:rsidR="00161448">
              <w:t>ti</w:t>
            </w:r>
            <w:r w:rsidRPr="00D43645">
              <w:t>kat</w:t>
            </w:r>
            <w:r w:rsidR="00161448">
              <w:t xml:space="preserve">. </w:t>
            </w:r>
          </w:p>
        </w:tc>
        <w:tc>
          <w:tcPr>
            <w:tcW w:w="5016" w:type="dxa"/>
          </w:tcPr>
          <w:p w14:paraId="76D807A6" w14:textId="77777777" w:rsidR="004461BC" w:rsidRPr="00EB3CD8" w:rsidRDefault="004461BC" w:rsidP="000179B5">
            <w:pPr>
              <w:ind w:left="-5"/>
              <w:rPr>
                <w:b/>
                <w:bCs/>
              </w:rPr>
            </w:pPr>
            <w:r w:rsidRPr="00EB3CD8">
              <w:rPr>
                <w:b/>
                <w:bCs/>
              </w:rPr>
              <w:t>Arvestatud.</w:t>
            </w:r>
          </w:p>
          <w:p w14:paraId="6CAABADB" w14:textId="45DD9338" w:rsidR="005F686F" w:rsidRPr="00412371" w:rsidRDefault="00EB3CD8" w:rsidP="000179B5">
            <w:pPr>
              <w:ind w:left="-5"/>
            </w:pPr>
            <w:r>
              <w:t xml:space="preserve">Eelnõu seletuskirja on täiendatud selliselt, et tarbijale tuleb saata vähemalt standardiseeritud teave ja teavitus ei pea ilmtingimata olema isikustatud. </w:t>
            </w:r>
            <w:r w:rsidR="007B0268">
              <w:t xml:space="preserve"> </w:t>
            </w:r>
          </w:p>
        </w:tc>
      </w:tr>
      <w:tr w:rsidR="00D22FD2" w14:paraId="3A42399C" w14:textId="77777777" w:rsidTr="00617FBE">
        <w:tc>
          <w:tcPr>
            <w:tcW w:w="576" w:type="dxa"/>
          </w:tcPr>
          <w:p w14:paraId="7666753B" w14:textId="68D1628A" w:rsidR="00F6249C" w:rsidRDefault="007A679D" w:rsidP="000179B5">
            <w:pPr>
              <w:jc w:val="center"/>
            </w:pPr>
            <w:r>
              <w:t>12</w:t>
            </w:r>
          </w:p>
        </w:tc>
        <w:tc>
          <w:tcPr>
            <w:tcW w:w="5040" w:type="dxa"/>
          </w:tcPr>
          <w:p w14:paraId="53AC4022" w14:textId="38EDB8D4" w:rsidR="00F6249C" w:rsidRPr="00D43645" w:rsidRDefault="00887808" w:rsidP="004E257F">
            <w:r w:rsidRPr="00887808">
              <w:t>E</w:t>
            </w:r>
            <w:r>
              <w:t xml:space="preserve">ttepanek </w:t>
            </w:r>
            <w:r w:rsidRPr="00887808">
              <w:t xml:space="preserve">täpsustada </w:t>
            </w:r>
            <w:r w:rsidR="003C33F6" w:rsidRPr="003C33F6">
              <w:t>VÕS § 404 lõige 2 punkt</w:t>
            </w:r>
            <w:r w:rsidR="003C33F6">
              <w:t>i</w:t>
            </w:r>
            <w:r w:rsidR="003C33F6" w:rsidRPr="003C33F6">
              <w:t xml:space="preserve"> 8</w:t>
            </w:r>
            <w:r w:rsidR="003C33F6">
              <w:t xml:space="preserve"> </w:t>
            </w:r>
            <w:r w:rsidRPr="00887808">
              <w:t>eelnõu seletuskirjas, millises ulatuses ja millisel kujul tuleb krediidiandjal esitada selgitus hüvi</w:t>
            </w:r>
            <w:r>
              <w:t>ti</w:t>
            </w:r>
            <w:r w:rsidRPr="00887808">
              <w:t>se arvutamise viisi kohta (näiteks kas piisab hüvi</w:t>
            </w:r>
            <w:r>
              <w:t>ti</w:t>
            </w:r>
            <w:r w:rsidRPr="00887808">
              <w:t>se arvutamise põhimõtete kirjeldamisest või tuleb esitada ka konkreetne arvutusnäide)</w:t>
            </w:r>
            <w:r>
              <w:t>.</w:t>
            </w:r>
          </w:p>
        </w:tc>
        <w:tc>
          <w:tcPr>
            <w:tcW w:w="5016" w:type="dxa"/>
          </w:tcPr>
          <w:p w14:paraId="56D57DB2" w14:textId="14E3EE8F" w:rsidR="00400668" w:rsidRPr="002E2FEC" w:rsidRDefault="0046486B" w:rsidP="000179B5">
            <w:pPr>
              <w:ind w:left="-5"/>
              <w:rPr>
                <w:b/>
                <w:bCs/>
              </w:rPr>
            </w:pPr>
            <w:r w:rsidRPr="002E2FEC">
              <w:rPr>
                <w:b/>
                <w:bCs/>
              </w:rPr>
              <w:t>Selgitatud.</w:t>
            </w:r>
          </w:p>
          <w:p w14:paraId="1225412E" w14:textId="5738D182" w:rsidR="00F6249C" w:rsidRPr="00412371" w:rsidRDefault="0046486B" w:rsidP="00C23247">
            <w:pPr>
              <w:ind w:left="-5"/>
            </w:pPr>
            <w:r>
              <w:t>Antud punktis nimetatud teabe esitamiseks võib kasutada seaduse tekstil põhinevat selgitust (</w:t>
            </w:r>
            <w:r w:rsidR="002E2FEC">
              <w:t xml:space="preserve">vt ka Pangaliidu märkus </w:t>
            </w:r>
            <w:r w:rsidR="009F4891">
              <w:t>10</w:t>
            </w:r>
            <w:r w:rsidR="002E2FEC">
              <w:t xml:space="preserve"> vastus). </w:t>
            </w:r>
            <w:r w:rsidR="00472764">
              <w:t xml:space="preserve">Selgitust hüvitise </w:t>
            </w:r>
            <w:r w:rsidR="001775D8">
              <w:t xml:space="preserve">arvutamise </w:t>
            </w:r>
            <w:r w:rsidR="00472764">
              <w:t xml:space="preserve">viisi kohta peab esitama ka kehtiva õiguse järgi ja </w:t>
            </w:r>
            <w:r w:rsidR="00472764" w:rsidRPr="003C33F6">
              <w:t>VÕS § 404 lõige 2 punkt</w:t>
            </w:r>
            <w:r w:rsidR="00472764">
              <w:t>i</w:t>
            </w:r>
            <w:r w:rsidR="00472764" w:rsidRPr="003C33F6">
              <w:t xml:space="preserve"> 8</w:t>
            </w:r>
            <w:r w:rsidR="00472764">
              <w:t xml:space="preserve"> lisanduvad „</w:t>
            </w:r>
            <w:r w:rsidR="00452822">
              <w:t xml:space="preserve">läbipaistev“ ja „arusaadav“ </w:t>
            </w:r>
            <w:r w:rsidR="00C23247">
              <w:t xml:space="preserve">senist praktikat põhimõtteliselt ei muuda. </w:t>
            </w:r>
          </w:p>
        </w:tc>
      </w:tr>
      <w:tr w:rsidR="00D22FD2" w14:paraId="7EFDF0B9" w14:textId="77777777" w:rsidTr="00617FBE">
        <w:tc>
          <w:tcPr>
            <w:tcW w:w="576" w:type="dxa"/>
          </w:tcPr>
          <w:p w14:paraId="2264D80E" w14:textId="20804A66" w:rsidR="003C33F6" w:rsidRDefault="009F4891" w:rsidP="000179B5">
            <w:pPr>
              <w:jc w:val="center"/>
            </w:pPr>
            <w:r>
              <w:t>13</w:t>
            </w:r>
          </w:p>
        </w:tc>
        <w:tc>
          <w:tcPr>
            <w:tcW w:w="5040" w:type="dxa"/>
          </w:tcPr>
          <w:p w14:paraId="11C1531A" w14:textId="09D312F8" w:rsidR="003C33F6" w:rsidRPr="00887808" w:rsidRDefault="003C54BF" w:rsidP="004E257F">
            <w:r w:rsidRPr="003C54BF">
              <w:t>E</w:t>
            </w:r>
            <w:r>
              <w:t>tt</w:t>
            </w:r>
            <w:r w:rsidRPr="003C54BF">
              <w:t>epanek</w:t>
            </w:r>
            <w:r>
              <w:t xml:space="preserve"> </w:t>
            </w:r>
            <w:r w:rsidRPr="003C54BF">
              <w:t xml:space="preserve">täpsustada </w:t>
            </w:r>
            <w:r w:rsidR="007D1F50" w:rsidRPr="007D1F50">
              <w:t>VÕS § 407 lõige 4</w:t>
            </w:r>
            <w:r w:rsidR="002D3AE5">
              <w:rPr>
                <w:vertAlign w:val="superscript"/>
              </w:rPr>
              <w:t>2</w:t>
            </w:r>
            <w:r w:rsidR="007D1F50">
              <w:t xml:space="preserve"> </w:t>
            </w:r>
            <w:r w:rsidRPr="003C54BF">
              <w:t xml:space="preserve">eelnõu või seletuskirja selliselt, et oleks selge, millal loetakse maksekonto jäägi ületamine „sagedaseks“ ning kas krediidiandja kohustus piirdub tarbija suunamisega asjakohaste võlanõustamisteenuste </w:t>
            </w:r>
            <w:r w:rsidRPr="003C54BF">
              <w:lastRenderedPageBreak/>
              <w:t>juurde või eeldab ka krediidiandja enda poolt nõustamisteenuse osutamist</w:t>
            </w:r>
            <w:r w:rsidR="007D1F50">
              <w:t>.</w:t>
            </w:r>
          </w:p>
        </w:tc>
        <w:tc>
          <w:tcPr>
            <w:tcW w:w="5016" w:type="dxa"/>
          </w:tcPr>
          <w:p w14:paraId="1B7B88E5" w14:textId="2095C6B1" w:rsidR="00694C93" w:rsidRDefault="00694C93" w:rsidP="000179B5">
            <w:pPr>
              <w:ind w:left="-5"/>
              <w:rPr>
                <w:b/>
                <w:bCs/>
              </w:rPr>
            </w:pPr>
            <w:r w:rsidRPr="00694C93">
              <w:rPr>
                <w:b/>
                <w:bCs/>
              </w:rPr>
              <w:lastRenderedPageBreak/>
              <w:t xml:space="preserve">Selgitatud. </w:t>
            </w:r>
          </w:p>
          <w:p w14:paraId="0E38A7E8" w14:textId="0F9C3E8E" w:rsidR="00495F83" w:rsidRPr="00495F83" w:rsidRDefault="007535FB" w:rsidP="00495F83">
            <w:pPr>
              <w:ind w:left="-5"/>
            </w:pPr>
            <w:r w:rsidRPr="007535FB">
              <w:t>Kehtiv</w:t>
            </w:r>
            <w:r>
              <w:t xml:space="preserve"> (kuid muudetav)</w:t>
            </w:r>
            <w:r w:rsidRPr="007535FB">
              <w:t xml:space="preserve"> VÕS § 407 lg 4</w:t>
            </w:r>
            <w:r w:rsidRPr="007535FB">
              <w:rPr>
                <w:vertAlign w:val="superscript"/>
              </w:rPr>
              <w:t>1</w:t>
            </w:r>
            <w:r w:rsidR="000B02A0">
              <w:t xml:space="preserve"> ja uus </w:t>
            </w:r>
            <w:r w:rsidR="000B02A0" w:rsidRPr="000B02A0">
              <w:t>VÕS § 407 lõige 4</w:t>
            </w:r>
            <w:r w:rsidR="00A9437C">
              <w:rPr>
                <w:vertAlign w:val="superscript"/>
              </w:rPr>
              <w:t>2</w:t>
            </w:r>
            <w:r w:rsidR="000B02A0" w:rsidRPr="0011077A">
              <w:rPr>
                <w:i/>
                <w:iCs/>
              </w:rPr>
              <w:t xml:space="preserve"> </w:t>
            </w:r>
            <w:r w:rsidR="000B02A0">
              <w:t xml:space="preserve"> on omavahel olemuslikult seotud, nagu on ka direktiivi (EL) 2023/2225</w:t>
            </w:r>
            <w:r w:rsidR="00845DCC">
              <w:t xml:space="preserve"> </w:t>
            </w:r>
            <w:r w:rsidR="00F275C6">
              <w:t xml:space="preserve">artikli 25 lg 2 mõlemad lõigud. See tähendab, et artikli 25 lg 2 teise lõigu ja </w:t>
            </w:r>
            <w:r w:rsidR="00F275C6" w:rsidRPr="000B02A0">
              <w:t>VÕS § 407 lõi</w:t>
            </w:r>
            <w:r w:rsidR="00F275C6">
              <w:t>k</w:t>
            </w:r>
            <w:r w:rsidR="00F275C6" w:rsidRPr="000B02A0">
              <w:t>e 4</w:t>
            </w:r>
            <w:r w:rsidR="002D3AE5">
              <w:rPr>
                <w:vertAlign w:val="superscript"/>
              </w:rPr>
              <w:t>2</w:t>
            </w:r>
            <w:r w:rsidR="00A9437C">
              <w:t xml:space="preserve"> </w:t>
            </w:r>
            <w:r w:rsidR="00A9437C">
              <w:lastRenderedPageBreak/>
              <w:t>järgne</w:t>
            </w:r>
            <w:r w:rsidR="00F275C6">
              <w:t xml:space="preserve"> </w:t>
            </w:r>
            <w:r w:rsidR="0032356F">
              <w:t>nõustamisteenuse osutami</w:t>
            </w:r>
            <w:r w:rsidR="00A9437C">
              <w:t>n</w:t>
            </w:r>
            <w:r w:rsidR="0032356F">
              <w:t xml:space="preserve">e ja võlanõustamise </w:t>
            </w:r>
            <w:r w:rsidR="001C1527">
              <w:t xml:space="preserve">soovitamine tulevad kõne alla siis, kui maksekonto jäägi </w:t>
            </w:r>
            <w:r w:rsidR="00FA368E">
              <w:t>märkimisväärne ületamin</w:t>
            </w:r>
            <w:r w:rsidR="003439CA">
              <w:t xml:space="preserve">e, mis vältab </w:t>
            </w:r>
            <w:r w:rsidR="00495F83">
              <w:t>kauem kui üks kuu, on juhtunud sagedalt.</w:t>
            </w:r>
            <w:r w:rsidR="00A9437C">
              <w:t xml:space="preserve"> Näiteks, kui tarbija ületab maksekonto jääki küll pikemalt kui kuuks ajaks, kuid vaid paari euro võrra, ei tule </w:t>
            </w:r>
            <w:r w:rsidR="00A9437C" w:rsidRPr="007535FB">
              <w:t>VÕS § 407 lg 4</w:t>
            </w:r>
            <w:r w:rsidR="00A9437C" w:rsidRPr="007535FB">
              <w:rPr>
                <w:vertAlign w:val="superscript"/>
              </w:rPr>
              <w:t>1</w:t>
            </w:r>
            <w:r w:rsidR="00A9437C">
              <w:t xml:space="preserve"> järgne teavitamine ja </w:t>
            </w:r>
            <w:r w:rsidR="00A9437C" w:rsidRPr="000B02A0">
              <w:t>VÕS § 407 lõige 4</w:t>
            </w:r>
            <w:r w:rsidR="00A9437C">
              <w:rPr>
                <w:vertAlign w:val="superscript"/>
              </w:rPr>
              <w:t>2</w:t>
            </w:r>
            <w:r w:rsidR="00A9437C">
              <w:t xml:space="preserve"> nõustamisteenuse osutamine kõne alla, sest tegemist ei ole märkimisväärse ületamisega. Sama kehtib ka vastupidiselt, s.o kui on maksekonto jääki küll märkimisväärselt ületatud, kuid selline ületamine ei kesta pikemalt kui üks kuu – sellisel juhul ei pea krediidiandja kohe tarbija</w:t>
            </w:r>
            <w:r w:rsidR="00B117A3">
              <w:t>t</w:t>
            </w:r>
            <w:r w:rsidR="00A9437C">
              <w:t xml:space="preserve"> teavitama või nõustamisteenust osutama/võlanõustamist soovitama. </w:t>
            </w:r>
            <w:r w:rsidR="00495F83">
              <w:t xml:space="preserve"> </w:t>
            </w:r>
            <w:r w:rsidR="00495F83" w:rsidRPr="00495F83">
              <w:t xml:space="preserve">Maksekonto jäägi „sagedane“ ületamine on </w:t>
            </w:r>
            <w:r w:rsidR="00A9437C">
              <w:t xml:space="preserve">aga </w:t>
            </w:r>
            <w:r w:rsidR="00495F83" w:rsidRPr="00495F83">
              <w:t>määratlemata õigusmõiste, millele saab lõpliku tõlgenduse anda Euroopa Kohus. Eeltoodut on kinnitanud ka Euroopa Komisjon. Sellest tulenevalt ei ole võimalik anda ühest määratlust selle osas, millistel eeldustel on tegemist „sagedase“ ületamisega.</w:t>
            </w:r>
            <w:r w:rsidR="00046AA2">
              <w:t xml:space="preserve"> </w:t>
            </w:r>
            <w:r w:rsidR="00465065">
              <w:t xml:space="preserve">Üldisemalt on võimalik väita, et selline maksekonto jäägi ületamine </w:t>
            </w:r>
            <w:r w:rsidR="00154245">
              <w:t xml:space="preserve">peab olema toimunud korduvalt. </w:t>
            </w:r>
            <w:r w:rsidR="00F47229">
              <w:t xml:space="preserve">Vastav selgitus on lisatud ka eelnõu seletuskirja. </w:t>
            </w:r>
          </w:p>
          <w:p w14:paraId="49A6632F" w14:textId="77777777" w:rsidR="00FD6019" w:rsidRDefault="00FD6019" w:rsidP="00F47229"/>
          <w:p w14:paraId="409DC0E5" w14:textId="6EC2D6CD" w:rsidR="00A72906" w:rsidRPr="00412371" w:rsidRDefault="00FD6019" w:rsidP="00694C93">
            <w:pPr>
              <w:ind w:left="-5"/>
            </w:pPr>
            <w:r>
              <w:t xml:space="preserve">Nõustamisteenus </w:t>
            </w:r>
            <w:r w:rsidR="0047309B">
              <w:t>(</w:t>
            </w:r>
            <w:r w:rsidR="000A242E">
              <w:t>VÕS §-s 419</w:t>
            </w:r>
            <w:r w:rsidR="000A242E">
              <w:rPr>
                <w:vertAlign w:val="superscript"/>
              </w:rPr>
              <w:t xml:space="preserve">1 </w:t>
            </w:r>
            <w:r w:rsidR="000A242E">
              <w:t>ja KAVS §</w:t>
            </w:r>
            <w:r w:rsidR="000034B0">
              <w:t xml:space="preserve"> 7) ja </w:t>
            </w:r>
            <w:proofErr w:type="spellStart"/>
            <w:r w:rsidR="000034B0">
              <w:t>võlanõustamisteenus</w:t>
            </w:r>
            <w:proofErr w:type="spellEnd"/>
            <w:r w:rsidR="000034B0">
              <w:t xml:space="preserve"> (</w:t>
            </w:r>
            <w:r w:rsidR="005C5A65">
              <w:t>SHS</w:t>
            </w:r>
            <w:r w:rsidR="00214579">
              <w:t xml:space="preserve"> §</w:t>
            </w:r>
            <w:r w:rsidR="005C5A65">
              <w:t xml:space="preserve"> </w:t>
            </w:r>
            <w:r w:rsidR="00214579">
              <w:t>44 ja 45</w:t>
            </w:r>
            <w:r w:rsidR="005C5A65">
              <w:t xml:space="preserve">) on erinevad asjad ning neid tuleb eristada. </w:t>
            </w:r>
            <w:r w:rsidR="00DE4A61">
              <w:t xml:space="preserve">Nõustamisteenust tuleb </w:t>
            </w:r>
            <w:r w:rsidR="006E7F57">
              <w:t xml:space="preserve">direktiivi (EL) 2023/2225 </w:t>
            </w:r>
            <w:r w:rsidR="00AD070C">
              <w:t xml:space="preserve">artikli </w:t>
            </w:r>
            <w:r w:rsidR="00D55046">
              <w:t xml:space="preserve">25 lg 2 </w:t>
            </w:r>
            <w:r w:rsidR="0015608F">
              <w:t xml:space="preserve">ja </w:t>
            </w:r>
            <w:r w:rsidR="006E7F57" w:rsidRPr="007D1F50">
              <w:t>VÕS § 407 lõi</w:t>
            </w:r>
            <w:r w:rsidR="0015608F">
              <w:t>k</w:t>
            </w:r>
            <w:r w:rsidR="006E7F57" w:rsidRPr="007D1F50">
              <w:t>e 4²</w:t>
            </w:r>
            <w:r w:rsidR="006E7F57">
              <w:t xml:space="preserve"> </w:t>
            </w:r>
            <w:r w:rsidR="0015608F">
              <w:t xml:space="preserve">kohaselt </w:t>
            </w:r>
            <w:r w:rsidR="00DE4A61">
              <w:t xml:space="preserve">pakkuda, kui see on kättesaadav (s.o </w:t>
            </w:r>
            <w:r w:rsidR="0039798B">
              <w:t xml:space="preserve">nõustamisteenus on </w:t>
            </w:r>
            <w:r w:rsidR="00DE4A61">
              <w:t xml:space="preserve">olemas </w:t>
            </w:r>
            <w:r w:rsidR="00BC1E4C">
              <w:t xml:space="preserve">ja </w:t>
            </w:r>
            <w:r w:rsidR="007A51A7">
              <w:t>seda</w:t>
            </w:r>
            <w:r w:rsidR="00BC1E4C">
              <w:t xml:space="preserve"> on võimalik tarbijale pakkuda). </w:t>
            </w:r>
            <w:r w:rsidR="001C652D">
              <w:t xml:space="preserve">Lisaks eeltoodule tuleb tarbijale soovitada ka </w:t>
            </w:r>
            <w:proofErr w:type="spellStart"/>
            <w:r w:rsidR="001C652D">
              <w:t>võlanõustamisteenuseid</w:t>
            </w:r>
            <w:proofErr w:type="spellEnd"/>
            <w:r w:rsidR="001C652D">
              <w:t xml:space="preserve"> (seda ei pea krediidiandja ise pakkuma, sest see on KOV poolt hallatav teenus)</w:t>
            </w:r>
            <w:r w:rsidR="006E7F57">
              <w:t xml:space="preserve">. Antud selgitused on ka </w:t>
            </w:r>
            <w:r w:rsidR="006E7F57" w:rsidRPr="007D1F50">
              <w:t xml:space="preserve">VÕS § 407 </w:t>
            </w:r>
            <w:r w:rsidR="006E7F57">
              <w:t>lg</w:t>
            </w:r>
            <w:r w:rsidR="006E7F57" w:rsidRPr="007D1F50">
              <w:t xml:space="preserve"> 4²</w:t>
            </w:r>
            <w:r w:rsidR="006E7F57">
              <w:t xml:space="preserve"> </w:t>
            </w:r>
            <w:r w:rsidR="006E7F57" w:rsidRPr="003C54BF">
              <w:t>eelnõu</w:t>
            </w:r>
            <w:r w:rsidR="006E7F57">
              <w:t xml:space="preserve"> seletuskirjas. </w:t>
            </w:r>
          </w:p>
        </w:tc>
      </w:tr>
      <w:tr w:rsidR="00D22FD2" w14:paraId="384A7722" w14:textId="77777777" w:rsidTr="00617FBE">
        <w:tc>
          <w:tcPr>
            <w:tcW w:w="576" w:type="dxa"/>
          </w:tcPr>
          <w:p w14:paraId="058B8C3C" w14:textId="11C16306" w:rsidR="00EC2826" w:rsidRDefault="009F4891" w:rsidP="000179B5">
            <w:pPr>
              <w:jc w:val="center"/>
            </w:pPr>
            <w:r>
              <w:lastRenderedPageBreak/>
              <w:t>14</w:t>
            </w:r>
          </w:p>
        </w:tc>
        <w:tc>
          <w:tcPr>
            <w:tcW w:w="5040" w:type="dxa"/>
          </w:tcPr>
          <w:p w14:paraId="558F8BB3" w14:textId="1D3C0DDA" w:rsidR="00EC2826" w:rsidRPr="003C54BF" w:rsidRDefault="002E5ACA" w:rsidP="004E257F">
            <w:r w:rsidRPr="002E5ACA">
              <w:t>E</w:t>
            </w:r>
            <w:r>
              <w:t>tt</w:t>
            </w:r>
            <w:r w:rsidRPr="002E5ACA">
              <w:t>epane</w:t>
            </w:r>
            <w:r w:rsidR="001B2DD5">
              <w:t xml:space="preserve">k </w:t>
            </w:r>
            <w:r w:rsidRPr="002E5ACA">
              <w:t xml:space="preserve">õigusselguse tagamise eesmärgil </w:t>
            </w:r>
            <w:r w:rsidR="00690A23" w:rsidRPr="00690A23">
              <w:t>VÕS § 411 lg 1</w:t>
            </w:r>
            <w:r w:rsidR="00690A23">
              <w:t xml:space="preserve"> </w:t>
            </w:r>
            <w:r w:rsidRPr="002E5ACA">
              <w:t xml:space="preserve">eelnõus ja seletuskirjas välja tuua, et krediidi kogukulu vähendamisel tuleb arvestada tasude majanduslikku sisu, ning möönda, et </w:t>
            </w:r>
            <w:r w:rsidR="00690A23" w:rsidRPr="002E5ACA">
              <w:t>direktiiv</w:t>
            </w:r>
            <w:r w:rsidRPr="002E5ACA">
              <w:t xml:space="preserve"> ei kehtesta ühtset matemaa</w:t>
            </w:r>
            <w:r w:rsidR="00690A23">
              <w:t>ti</w:t>
            </w:r>
            <w:r w:rsidRPr="002E5ACA">
              <w:t>list valemit kõikide vähendamiseks, vaid et vähendamise mehhanism peab olema kooskõlas proportsionaalsuse põhimõ</w:t>
            </w:r>
            <w:r w:rsidR="00690A23">
              <w:t>tt</w:t>
            </w:r>
            <w:r w:rsidRPr="002E5ACA">
              <w:t>ega. See tagab tasakaalu tarbija kaitse ja krediidituru toimimise vahel ning väldib direk</w:t>
            </w:r>
            <w:r w:rsidR="00A632B2">
              <w:t>tiivist</w:t>
            </w:r>
            <w:r w:rsidRPr="002E5ACA">
              <w:t xml:space="preserve"> mi</w:t>
            </w:r>
            <w:r w:rsidR="00A632B2">
              <w:t>tt</w:t>
            </w:r>
            <w:r w:rsidRPr="002E5ACA">
              <w:t xml:space="preserve">etulenevat </w:t>
            </w:r>
            <w:proofErr w:type="spellStart"/>
            <w:r w:rsidRPr="002E5ACA">
              <w:t>ülereguleerivat</w:t>
            </w:r>
            <w:proofErr w:type="spellEnd"/>
            <w:r w:rsidRPr="002E5ACA">
              <w:t xml:space="preserve"> tõlgendust</w:t>
            </w:r>
            <w:r w:rsidR="00A632B2">
              <w:t>.</w:t>
            </w:r>
          </w:p>
        </w:tc>
        <w:tc>
          <w:tcPr>
            <w:tcW w:w="5016" w:type="dxa"/>
          </w:tcPr>
          <w:p w14:paraId="79C76DC4" w14:textId="51DE6870" w:rsidR="52A1B2AC" w:rsidRDefault="52A1B2AC" w:rsidP="343C9844">
            <w:pPr>
              <w:ind w:left="-5"/>
            </w:pPr>
            <w:r w:rsidRPr="0900A08A">
              <w:rPr>
                <w:b/>
              </w:rPr>
              <w:t>Selgitatud</w:t>
            </w:r>
            <w:r>
              <w:t xml:space="preserve">. </w:t>
            </w:r>
          </w:p>
          <w:p w14:paraId="766590FF" w14:textId="7E88DF07" w:rsidR="52A1B2AC" w:rsidRDefault="52A1B2AC" w:rsidP="343C9844">
            <w:pPr>
              <w:ind w:left="-5"/>
            </w:pPr>
            <w:r>
              <w:t xml:space="preserve">Eelnõu teksti ei ole võimalik teistmoodi sõnastada, </w:t>
            </w:r>
            <w:r w:rsidR="625219F8">
              <w:t xml:space="preserve">kui see eelnõus ette nähtud on, </w:t>
            </w:r>
            <w:r>
              <w:t xml:space="preserve">sest </w:t>
            </w:r>
            <w:r w:rsidR="02876D70">
              <w:t>eelnõuga tuleb tagada kooskõla</w:t>
            </w:r>
            <w:r w:rsidR="5A5A5727">
              <w:t xml:space="preserve"> on </w:t>
            </w:r>
            <w:r w:rsidR="67B52003">
              <w:t>maksimaalselt harmoneeriva</w:t>
            </w:r>
            <w:r w:rsidR="3118F11E">
              <w:t xml:space="preserve"> direktiiviga.</w:t>
            </w:r>
          </w:p>
          <w:p w14:paraId="4B79D209" w14:textId="5FFB2B94" w:rsidR="1DAC3329" w:rsidRDefault="1DAC3329" w:rsidP="1DAC3329">
            <w:pPr>
              <w:ind w:left="-5"/>
            </w:pPr>
          </w:p>
          <w:p w14:paraId="7EEF2AD0" w14:textId="02E19AE8" w:rsidR="00EC2826" w:rsidRPr="00412371" w:rsidRDefault="3118F11E" w:rsidP="00A910DE">
            <w:pPr>
              <w:ind w:left="-5"/>
            </w:pPr>
            <w:r>
              <w:t xml:space="preserve">Direktiiv ei kehtesta </w:t>
            </w:r>
            <w:proofErr w:type="spellStart"/>
            <w:r>
              <w:t>tõepoolest</w:t>
            </w:r>
            <w:proofErr w:type="spellEnd"/>
            <w:r>
              <w:t xml:space="preserve"> matemaatilist valemit, aga </w:t>
            </w:r>
            <w:r w:rsidR="13AF0E9C">
              <w:t>direktiivist tuleneb, et enne</w:t>
            </w:r>
            <w:r w:rsidR="54A3ED6A">
              <w:t>tähtaegse tagasimakse korral vähendatakse krediidi kogukulu tarbijale lepingu järelejäänud kestuse jooksul.</w:t>
            </w:r>
            <w:r w:rsidR="13AF0E9C">
              <w:t xml:space="preserve"> </w:t>
            </w:r>
            <w:r w:rsidR="2FB7FF2B">
              <w:t>T</w:t>
            </w:r>
            <w:r w:rsidR="13AF0E9C" w:rsidRPr="5C702DEE">
              <w:rPr>
                <w:rFonts w:eastAsia="Times New Roman"/>
                <w:color w:val="000000" w:themeColor="text1"/>
              </w:rPr>
              <w:t>arbija</w:t>
            </w:r>
            <w:r w:rsidR="13AF0E9C" w:rsidRPr="58222C29">
              <w:rPr>
                <w:rFonts w:eastAsia="Times New Roman"/>
                <w:color w:val="000000" w:themeColor="text1"/>
              </w:rPr>
              <w:t xml:space="preserve"> krediidi kogukulu vähendamise arvutamisel arvesse kõiki kulusid, mida </w:t>
            </w:r>
            <w:r w:rsidR="13AF0E9C" w:rsidRPr="58222C29">
              <w:rPr>
                <w:rFonts w:eastAsia="Times New Roman"/>
                <w:color w:val="000000" w:themeColor="text1"/>
              </w:rPr>
              <w:lastRenderedPageBreak/>
              <w:t xml:space="preserve">krediidiandja tarbijalt nõudis. </w:t>
            </w:r>
            <w:r>
              <w:t>Eelnõu seletuskirjas on seda</w:t>
            </w:r>
            <w:r w:rsidR="4D3FFDFA">
              <w:t xml:space="preserve"> täpsemalt </w:t>
            </w:r>
            <w:r w:rsidR="38DD86B6">
              <w:t>selgit</w:t>
            </w:r>
            <w:r w:rsidR="4D3FFDFA">
              <w:t xml:space="preserve">atud. </w:t>
            </w:r>
          </w:p>
        </w:tc>
      </w:tr>
      <w:tr w:rsidR="00D22FD2" w14:paraId="607665A7" w14:textId="77777777" w:rsidTr="00617FBE">
        <w:tc>
          <w:tcPr>
            <w:tcW w:w="576" w:type="dxa"/>
          </w:tcPr>
          <w:p w14:paraId="0F81E3C5" w14:textId="0838C904" w:rsidR="003F3806" w:rsidRDefault="009F4891" w:rsidP="000179B5">
            <w:pPr>
              <w:jc w:val="center"/>
            </w:pPr>
            <w:r>
              <w:lastRenderedPageBreak/>
              <w:t>15</w:t>
            </w:r>
          </w:p>
        </w:tc>
        <w:tc>
          <w:tcPr>
            <w:tcW w:w="5040" w:type="dxa"/>
          </w:tcPr>
          <w:p w14:paraId="395F0DEA" w14:textId="77777777" w:rsidR="003F3806" w:rsidRDefault="00401A6C" w:rsidP="004E257F">
            <w:r>
              <w:t xml:space="preserve">Ettepanek </w:t>
            </w:r>
            <w:r w:rsidRPr="00401A6C">
              <w:t>VÕS §</w:t>
            </w:r>
            <w:r w:rsidR="007D0291">
              <w:t>-i</w:t>
            </w:r>
            <w:r w:rsidRPr="00401A6C">
              <w:t xml:space="preserve"> 403</w:t>
            </w:r>
            <w:r>
              <w:rPr>
                <w:vertAlign w:val="superscript"/>
              </w:rPr>
              <w:t>4</w:t>
            </w:r>
            <w:r w:rsidRPr="00401A6C">
              <w:t xml:space="preserve"> </w:t>
            </w:r>
            <w:r w:rsidR="007D0291">
              <w:t xml:space="preserve">täiendada </w:t>
            </w:r>
            <w:proofErr w:type="spellStart"/>
            <w:r w:rsidR="007D0291">
              <w:t>lg-ga</w:t>
            </w:r>
            <w:proofErr w:type="spellEnd"/>
            <w:r w:rsidR="007D0291">
              <w:t xml:space="preserve"> 1</w:t>
            </w:r>
            <w:r w:rsidR="0071385E">
              <w:t>4 selliselt</w:t>
            </w:r>
            <w:r w:rsidR="00765BB7" w:rsidRPr="00765BB7">
              <w:t>, et krediidiandja võiks lepingu erakorraliselt üles öelda või sellest taganeda, kui pärast lepingu sõlmimist selgub, et tarbija on esitanud võltsitud või ebaõiget teavet, mis takistas krediidiandjal krediidivõimelisust õiges</w:t>
            </w:r>
            <w:r>
              <w:t>ti</w:t>
            </w:r>
            <w:r w:rsidR="00765BB7" w:rsidRPr="00765BB7">
              <w:t xml:space="preserve"> hinnata</w:t>
            </w:r>
            <w:r w:rsidR="00961850">
              <w:t>.</w:t>
            </w:r>
          </w:p>
          <w:p w14:paraId="20883791" w14:textId="77777777" w:rsidR="004652C5" w:rsidRDefault="004652C5" w:rsidP="004652C5">
            <w:r>
              <w:t>Praeguses sõnastuses tähendab uus lg 14 vastutuse koondumist ühepoolselt krediidiandjale, kes kannab krediidivõimelisuse hindamise vea riski ning ei saa lepingut ka juhul, kui hindamisviga tulenes tarbija hooletusest või teabe puudulikust esitamisest. Tarbija vastutus aga realiseerub üksnes tahtliku käitumise korral. Niisiis jääb risk krediidiandjale ka juhul, kui krediidivõimelisuse ebaõige hindamine oli seotud tarbija olulise hooletusega, näiteks sissetuleku või kohustuste ebatäpse esitamisega, kui puudub tõend tahtliku varjamise või võltsimise kohta</w:t>
            </w:r>
            <w:r w:rsidR="003E206E">
              <w:t>.</w:t>
            </w:r>
          </w:p>
          <w:p w14:paraId="473BF0B1" w14:textId="052E6F3F" w:rsidR="00A9447C" w:rsidRDefault="00A9447C" w:rsidP="00A9447C">
            <w:r>
              <w:t>Kui § 403</w:t>
            </w:r>
            <w:r>
              <w:rPr>
                <w:vertAlign w:val="superscript"/>
              </w:rPr>
              <w:t>4</w:t>
            </w:r>
            <w:r>
              <w:t xml:space="preserve"> uut lg 14 vaadata koosmõjus laiendatud teabe kogumise ja kontrollimise kohustusega, võib teha järeldused, et:</w:t>
            </w:r>
          </w:p>
          <w:p w14:paraId="78AEECBB" w14:textId="77777777" w:rsidR="00A9447C" w:rsidRDefault="00A9447C" w:rsidP="00A9447C">
            <w:pPr>
              <w:pStyle w:val="Loendilik"/>
              <w:numPr>
                <w:ilvl w:val="0"/>
                <w:numId w:val="36"/>
              </w:numPr>
            </w:pPr>
            <w:r>
              <w:t>krediidiandja peab koguma ja kontrollima kogu krediidivõimelisuse hindamisel kasutatava teabe;</w:t>
            </w:r>
          </w:p>
          <w:p w14:paraId="50FF63CA" w14:textId="77777777" w:rsidR="00A9447C" w:rsidRDefault="00A9447C" w:rsidP="00A9447C">
            <w:pPr>
              <w:pStyle w:val="Loendilik"/>
              <w:numPr>
                <w:ilvl w:val="0"/>
                <w:numId w:val="36"/>
              </w:numPr>
            </w:pPr>
            <w:r>
              <w:t>krediidiandja ei või tarbija kinnitustele sisuliselt tugineda;</w:t>
            </w:r>
          </w:p>
          <w:p w14:paraId="37F2941D" w14:textId="77777777" w:rsidR="00A9447C" w:rsidRDefault="00A9447C" w:rsidP="00A9447C">
            <w:pPr>
              <w:pStyle w:val="Loendilik"/>
              <w:numPr>
                <w:ilvl w:val="0"/>
                <w:numId w:val="36"/>
              </w:numPr>
            </w:pPr>
            <w:r>
              <w:t>krediidiandja kannab hindamisvea riski; ja</w:t>
            </w:r>
          </w:p>
          <w:p w14:paraId="58701839" w14:textId="77777777" w:rsidR="003E206E" w:rsidRDefault="00A9447C" w:rsidP="00A9447C">
            <w:pPr>
              <w:pStyle w:val="Loendilik"/>
              <w:numPr>
                <w:ilvl w:val="0"/>
                <w:numId w:val="36"/>
              </w:numPr>
            </w:pPr>
            <w:r>
              <w:t>tarbija vastutus realiseerub üksnes tahtliku käitumise korral</w:t>
            </w:r>
            <w:r w:rsidR="00876A63">
              <w:t>.</w:t>
            </w:r>
          </w:p>
          <w:p w14:paraId="571A2644" w14:textId="1042EFF9" w:rsidR="002207A1" w:rsidRPr="002207A1" w:rsidRDefault="002207A1" w:rsidP="002207A1">
            <w:r>
              <w:t>T</w:t>
            </w:r>
            <w:r w:rsidRPr="002207A1">
              <w:t>äiendavalt juhime tähelepanu võimalikule vastuolule järelevalveprak</w:t>
            </w:r>
            <w:r>
              <w:t>ti</w:t>
            </w:r>
            <w:r w:rsidRPr="002207A1">
              <w:t>kaga. FI vastutustundliku laenamise käsiraamat näeb krediidivõimelisuse hindamisel e</w:t>
            </w:r>
            <w:r>
              <w:t>tt</w:t>
            </w:r>
            <w:r w:rsidRPr="002207A1">
              <w:t xml:space="preserve">e </w:t>
            </w:r>
            <w:r w:rsidR="00267492" w:rsidRPr="002207A1">
              <w:t>konservatiivse</w:t>
            </w:r>
            <w:r w:rsidRPr="002207A1">
              <w:t xml:space="preserve"> lähenemise, eeldades, et tarbija esitatud teave on hindamise sisuline lähtepunkt ja seda tuleks pidada usaldusväärseks. Kui aga seaduse tasandil sätestatakse, et krediidiandja kannab lõppvastutust ka tarbija hooletult esitatud andmete eest ning tarbija vastutus piirdub tahtliku pe</w:t>
            </w:r>
            <w:r w:rsidR="00267492">
              <w:t>tt</w:t>
            </w:r>
            <w:r w:rsidRPr="002207A1">
              <w:t xml:space="preserve">usega, tekib </w:t>
            </w:r>
            <w:r w:rsidR="00267492" w:rsidRPr="002207A1">
              <w:t>regula</w:t>
            </w:r>
            <w:r w:rsidR="00267492">
              <w:t>tii</w:t>
            </w:r>
            <w:r w:rsidR="00267492" w:rsidRPr="002207A1">
              <w:t>vne</w:t>
            </w:r>
            <w:r w:rsidRPr="002207A1">
              <w:t xml:space="preserve"> vastuolu. Ühelt poolt eeldatakse tarbija andmetest </w:t>
            </w:r>
            <w:r w:rsidR="00267492" w:rsidRPr="002207A1">
              <w:t>konservatiivselt</w:t>
            </w:r>
            <w:r w:rsidRPr="002207A1">
              <w:t xml:space="preserve"> lähtumist, teiselt poolt ei kaasne andmete ebatäpsusega tarbijale sisulist vastutust.</w:t>
            </w:r>
          </w:p>
          <w:p w14:paraId="7C170147" w14:textId="43179559" w:rsidR="002207A1" w:rsidRPr="002207A1" w:rsidRDefault="00267492" w:rsidP="002207A1">
            <w:r w:rsidRPr="002207A1">
              <w:lastRenderedPageBreak/>
              <w:t>Direktiivi</w:t>
            </w:r>
            <w:r w:rsidR="002207A1" w:rsidRPr="002207A1">
              <w:t xml:space="preserve"> eesmärk on edendada vastutustundlikku laenamist, mi</w:t>
            </w:r>
            <w:r>
              <w:t>tt</w:t>
            </w:r>
            <w:r w:rsidR="002207A1" w:rsidRPr="002207A1">
              <w:t xml:space="preserve">e kehtestada krediidiandja absoluutset vastutust kõigi hindamisvigade eest sõltumata tarbija käitumisest. Praegune sõnastus aga võib viia tasakaalustamata riskijaotuseni, kus </w:t>
            </w:r>
          </w:p>
          <w:p w14:paraId="050BB61E" w14:textId="3AB55C08" w:rsidR="00876A63" w:rsidRPr="002E5ACA" w:rsidRDefault="002207A1" w:rsidP="002207A1">
            <w:r w:rsidRPr="002207A1">
              <w:t xml:space="preserve">krediidiandja vastutus on sisuliselt täielik, tarbija kohustus esitada õige ja täielik teave jääb </w:t>
            </w:r>
            <w:r w:rsidR="00267492" w:rsidRPr="002207A1">
              <w:t>deklaratiivseks</w:t>
            </w:r>
            <w:r w:rsidRPr="002207A1">
              <w:t xml:space="preserve"> ning vastutuse jaotuse põhimõte ei ole tasakaalustatud</w:t>
            </w:r>
            <w:r w:rsidR="00D70248">
              <w:t>.</w:t>
            </w:r>
          </w:p>
        </w:tc>
        <w:tc>
          <w:tcPr>
            <w:tcW w:w="5016" w:type="dxa"/>
          </w:tcPr>
          <w:p w14:paraId="6F1E60A1" w14:textId="12D81BE0" w:rsidR="006520C5" w:rsidRPr="008D1F57" w:rsidRDefault="000E2A06" w:rsidP="000179B5">
            <w:pPr>
              <w:ind w:left="-5"/>
              <w:rPr>
                <w:b/>
                <w:bCs/>
              </w:rPr>
            </w:pPr>
            <w:r w:rsidRPr="008D1F57">
              <w:rPr>
                <w:b/>
                <w:bCs/>
              </w:rPr>
              <w:lastRenderedPageBreak/>
              <w:t>Mittearvestatud</w:t>
            </w:r>
            <w:r w:rsidR="00D9173A">
              <w:rPr>
                <w:b/>
                <w:bCs/>
              </w:rPr>
              <w:t xml:space="preserve"> / Selgitatud. </w:t>
            </w:r>
          </w:p>
          <w:p w14:paraId="04BEB376" w14:textId="5052E949" w:rsidR="000E2A06" w:rsidRDefault="000E2A06" w:rsidP="000179B5">
            <w:pPr>
              <w:ind w:left="-5"/>
            </w:pPr>
            <w:r>
              <w:t>Samasisuline säte on olemas VÕS §</w:t>
            </w:r>
            <w:r w:rsidR="008D1F57">
              <w:t xml:space="preserve"> 416 </w:t>
            </w:r>
            <w:proofErr w:type="spellStart"/>
            <w:r w:rsidR="008D1F57">
              <w:t>lg-s</w:t>
            </w:r>
            <w:proofErr w:type="spellEnd"/>
            <w:r w:rsidR="008D1F57">
              <w:t xml:space="preserve"> 4</w:t>
            </w:r>
            <w:r w:rsidR="006B7884">
              <w:t xml:space="preserve">, mis hõlmab muu hulgas </w:t>
            </w:r>
            <w:r w:rsidR="00D1346F">
              <w:t>krediidiandja õigust öelda tarbijakrediidileping üles ka juhul</w:t>
            </w:r>
            <w:r w:rsidR="0082769F">
              <w:t xml:space="preserve">, kui </w:t>
            </w:r>
            <w:r w:rsidR="00FA3E2E">
              <w:t xml:space="preserve">tarbija on võltsinud </w:t>
            </w:r>
            <w:r w:rsidR="00AF197B">
              <w:t>krediidiandjale esitatud teavet.</w:t>
            </w:r>
          </w:p>
          <w:p w14:paraId="060E1C13" w14:textId="0867D44F" w:rsidR="003F3806" w:rsidRDefault="00C32314" w:rsidP="003843E9">
            <w:pPr>
              <w:ind w:left="-5"/>
            </w:pPr>
            <w:r>
              <w:t>Justiits- ja Digiministeerium leiab, et</w:t>
            </w:r>
            <w:r w:rsidR="006952E3">
              <w:t xml:space="preserve"> krediidiandja õigust öelda tarbijakrediidileping </w:t>
            </w:r>
            <w:r w:rsidR="0040052F">
              <w:t xml:space="preserve">erakorraliselt üles ei saa siduda </w:t>
            </w:r>
            <w:r w:rsidR="00704FAC">
              <w:t xml:space="preserve">pelgalt </w:t>
            </w:r>
            <w:r w:rsidR="00087610">
              <w:t xml:space="preserve">tarbija poolt </w:t>
            </w:r>
            <w:r w:rsidR="00704FAC">
              <w:t>ebaõige teabe esitamisega.</w:t>
            </w:r>
            <w:r w:rsidR="004A77E2">
              <w:t xml:space="preserve"> Sellisel juhul oleks hõlmatud ka olukorra</w:t>
            </w:r>
            <w:r w:rsidR="00302ED9">
              <w:t>d</w:t>
            </w:r>
            <w:r w:rsidR="004A77E2">
              <w:t>, kus tarbija on esitanud eba</w:t>
            </w:r>
            <w:r w:rsidR="0069515D">
              <w:t>õige või puuduliku teabe</w:t>
            </w:r>
            <w:r w:rsidR="008A20B6">
              <w:t xml:space="preserve"> näiteks krediidiandja puudulike juhiste tõttu. </w:t>
            </w:r>
            <w:r w:rsidR="00CA4BA9">
              <w:t xml:space="preserve">Ka FI on vastutustundliku </w:t>
            </w:r>
            <w:r w:rsidR="00953864">
              <w:t xml:space="preserve">krediidi </w:t>
            </w:r>
            <w:r w:rsidR="009D7827">
              <w:t>väljastamise protsessi</w:t>
            </w:r>
            <w:r w:rsidR="00CA4BA9">
              <w:t xml:space="preserve"> käsiraamatus</w:t>
            </w:r>
            <w:r w:rsidR="00F02D32">
              <w:rPr>
                <w:rStyle w:val="Allmrkuseviide"/>
              </w:rPr>
              <w:footnoteReference w:id="2"/>
            </w:r>
            <w:r w:rsidR="00CA4BA9">
              <w:t xml:space="preserve"> rõhutanud, et </w:t>
            </w:r>
            <w:r w:rsidR="002753F9">
              <w:t>o</w:t>
            </w:r>
            <w:r w:rsidR="002753F9" w:rsidRPr="002753F9">
              <w:t>luline on, et krediiditaotluselt oleks mõistetav, millist informatsiooni on krediidiandja tarbijalt oodanud (nt kas ainult töötasu või erinevatest sissetulekuallikatest saadud suurused kokku, kas regulaarse sissetuleku suurus tuleb esitada neto- või brutosissetulekuna). Ilma täpsustuseta ei pruugi tarbija esitada informatsiooni, mida krediidiandja tema krediidivõimelisuse hindamiseks vajab või juhul, kui tarbija ise peab mõistatama, millist infot krediidiandja soovib, ei pruugi krediidiandja hinnang tarbija krediidivõimelisusele olla adekvaatne.</w:t>
            </w:r>
            <w:r w:rsidR="007A3BB1">
              <w:t xml:space="preserve"> </w:t>
            </w:r>
          </w:p>
          <w:p w14:paraId="48E33B20" w14:textId="73369379" w:rsidR="00087610" w:rsidRDefault="006F1E75" w:rsidP="00861064">
            <w:r>
              <w:t>Eelnõuga tule</w:t>
            </w:r>
            <w:r w:rsidR="00E14893">
              <w:t>nevatest muudatustest</w:t>
            </w:r>
            <w:r w:rsidR="00861064">
              <w:t xml:space="preserve"> ei saa </w:t>
            </w:r>
            <w:r w:rsidR="005A3DDC">
              <w:t>järeldada</w:t>
            </w:r>
            <w:r w:rsidR="00861064">
              <w:t xml:space="preserve">, et krediidiandja peab koguma ja kontrollima kogu krediidivõimelisuse hindamisel kasutatava teabe ning et ta ei või tarbija kinnitustele sisuliselt tugineda. </w:t>
            </w:r>
            <w:r w:rsidR="0037246F">
              <w:t xml:space="preserve">(Ka) tarbija esitatud teavet tuleb </w:t>
            </w:r>
            <w:r w:rsidR="00C04F02">
              <w:t xml:space="preserve">vastavalt </w:t>
            </w:r>
            <w:r w:rsidR="003F6ED1">
              <w:t>VÕS § 403</w:t>
            </w:r>
            <w:r w:rsidR="003F6ED1">
              <w:rPr>
                <w:vertAlign w:val="superscript"/>
              </w:rPr>
              <w:t>4</w:t>
            </w:r>
            <w:r w:rsidR="00233753">
              <w:rPr>
                <w:vertAlign w:val="superscript"/>
              </w:rPr>
              <w:t xml:space="preserve"> </w:t>
            </w:r>
            <w:proofErr w:type="spellStart"/>
            <w:r w:rsidR="00233753">
              <w:t>lg-le</w:t>
            </w:r>
            <w:proofErr w:type="spellEnd"/>
            <w:r w:rsidR="00233753">
              <w:t xml:space="preserve"> 4 ja</w:t>
            </w:r>
            <w:r w:rsidR="003F6ED1">
              <w:t xml:space="preserve"> </w:t>
            </w:r>
            <w:r w:rsidR="0037246F">
              <w:t xml:space="preserve">KAVS § </w:t>
            </w:r>
            <w:r w:rsidR="004164C4">
              <w:t xml:space="preserve">50 </w:t>
            </w:r>
            <w:proofErr w:type="spellStart"/>
            <w:r w:rsidR="004164C4">
              <w:t>lg</w:t>
            </w:r>
            <w:r w:rsidR="00310D95">
              <w:t>-le</w:t>
            </w:r>
            <w:proofErr w:type="spellEnd"/>
            <w:r w:rsidR="00310D95">
              <w:t xml:space="preserve"> 3 kontrollida </w:t>
            </w:r>
            <w:r w:rsidR="00310D95">
              <w:rPr>
                <w:i/>
                <w:iCs/>
              </w:rPr>
              <w:t>asjakohaselt</w:t>
            </w:r>
            <w:r w:rsidR="00992DD9">
              <w:rPr>
                <w:i/>
                <w:iCs/>
              </w:rPr>
              <w:t xml:space="preserve"> </w:t>
            </w:r>
            <w:r w:rsidR="00992DD9">
              <w:t xml:space="preserve">ehk lähtudes </w:t>
            </w:r>
            <w:r w:rsidR="0042487F">
              <w:t>VÕS § 403</w:t>
            </w:r>
            <w:r w:rsidR="0042487F">
              <w:rPr>
                <w:vertAlign w:val="superscript"/>
              </w:rPr>
              <w:t xml:space="preserve">4 </w:t>
            </w:r>
            <w:proofErr w:type="spellStart"/>
            <w:r w:rsidR="0042487F">
              <w:t>lg-s</w:t>
            </w:r>
            <w:proofErr w:type="spellEnd"/>
            <w:r w:rsidR="0042487F">
              <w:t xml:space="preserve"> 2 sätestatud põhimõtetest</w:t>
            </w:r>
            <w:r w:rsidR="00322DB4">
              <w:t xml:space="preserve"> </w:t>
            </w:r>
            <w:r w:rsidR="002F0442">
              <w:t>ja/või juhul, kui tarbija esitatud teabe usaldusväärsuse osas esineb põhjendatud kahtlus.</w:t>
            </w:r>
            <w:r w:rsidR="009F0F7D">
              <w:t xml:space="preserve"> </w:t>
            </w:r>
            <w:r w:rsidR="007C7B10">
              <w:t xml:space="preserve">Eelnõu seletuskirjas, eriti pärast kooskõlastusringi </w:t>
            </w:r>
            <w:proofErr w:type="spellStart"/>
            <w:r w:rsidR="007C7B10">
              <w:t>tagaside</w:t>
            </w:r>
            <w:r w:rsidR="00796BA1">
              <w:t>t</w:t>
            </w:r>
            <w:proofErr w:type="spellEnd"/>
            <w:r w:rsidR="007C7B10">
              <w:t xml:space="preserve">, on rõhutatud, et teabe kontrollimise kohustus ei ole absoluutne. </w:t>
            </w:r>
            <w:r w:rsidR="00115C9F">
              <w:t>Eeltoodut ei muuda ka uus VÕS § 403</w:t>
            </w:r>
            <w:r w:rsidR="00115C9F">
              <w:rPr>
                <w:vertAlign w:val="superscript"/>
              </w:rPr>
              <w:t>4</w:t>
            </w:r>
            <w:r w:rsidR="00115C9F">
              <w:t xml:space="preserve"> lg 14. </w:t>
            </w:r>
          </w:p>
          <w:p w14:paraId="416FEB04" w14:textId="53233C86" w:rsidR="00DE1BB4" w:rsidRDefault="007B1ECC" w:rsidP="00861064">
            <w:r>
              <w:t>Krediidivõimelisuse kontroll on oluline tarbijakaitse meede, millega tagatakse,</w:t>
            </w:r>
            <w:r w:rsidR="004C2288">
              <w:t xml:space="preserve"> et krediiti väljastatakse vaid sellisele tarbijale, kes on reaalselt suuteline seda ka tasuma. Kuna </w:t>
            </w:r>
            <w:r w:rsidR="008C6582">
              <w:t xml:space="preserve">krediidivõimelisuse hindamine / vastutustundlik </w:t>
            </w:r>
            <w:r w:rsidR="008C6582">
              <w:lastRenderedPageBreak/>
              <w:t>laenamine on selles süsteemis keskne, peavad selle rikkumisel kohaldatavad sanktsioonid olema samuti tõhusad ja reaalselt hoiatavad</w:t>
            </w:r>
            <w:r w:rsidR="00AC3967">
              <w:t xml:space="preserve">. </w:t>
            </w:r>
            <w:r w:rsidR="00015198">
              <w:t xml:space="preserve">Tarbija poolt (hooletusest) esitatud ebaõige info ei saa seda kohustust </w:t>
            </w:r>
            <w:r w:rsidR="008735D2">
              <w:t>vähendada, sest selle kõrval on krediidiandjal jätkuvalt kohustus ilmselged vastuolud või riskid ka avastada.</w:t>
            </w:r>
          </w:p>
          <w:p w14:paraId="45D27F97" w14:textId="3FB8C3CF" w:rsidR="00DE1BB4" w:rsidRPr="00992DD9" w:rsidRDefault="00DE1BB4" w:rsidP="00861064">
            <w:r>
              <w:t xml:space="preserve">Lisaks eeltoodule ei tähenda FI käsiraamatus ette nähtud </w:t>
            </w:r>
            <w:r w:rsidR="00652807">
              <w:t xml:space="preserve">„konservatiivne lähenemine“ seda, et </w:t>
            </w:r>
            <w:r w:rsidR="00652807" w:rsidRPr="002207A1">
              <w:t>tarbija esitatud teave on hindamise sisuline lähtepunkt ja seda tuleks pidada usaldusväärseks</w:t>
            </w:r>
            <w:r w:rsidR="00652807">
              <w:t xml:space="preserve">. </w:t>
            </w:r>
            <w:r w:rsidR="0017324F">
              <w:t xml:space="preserve">FI käsiraamatu kohaselt peab krediidiandja sissetulekute arvestamisel lähtuma konservatiivsuse </w:t>
            </w:r>
            <w:r w:rsidR="00CF28A9">
              <w:t>põhimõttest ehk</w:t>
            </w:r>
            <w:r w:rsidR="004B36F4">
              <w:t xml:space="preserve"> o</w:t>
            </w:r>
            <w:r w:rsidR="004B36F4" w:rsidRPr="004B36F4">
              <w:t>lukorras, kus krediidiandjale nähtub erinevatest allikatest (krediiditaotlus, arvelduskonto väljavõte, Pensioniregister, Maksu- ja Tolliamet) keskmiseks tarbij</w:t>
            </w:r>
            <w:r w:rsidR="00027F5C">
              <w:t xml:space="preserve">a </w:t>
            </w:r>
            <w:r w:rsidR="00027F5C" w:rsidRPr="00027F5C">
              <w:t>sissetuleku suuruseks erinev summa, tuleb krediidiandjal arvestada väiksema talle teadaoleva tarbija sissetuleku suurusega.</w:t>
            </w:r>
            <w:r w:rsidR="00027F5C">
              <w:t xml:space="preserve"> Sellel ei ole mingit seos</w:t>
            </w:r>
            <w:r w:rsidR="00F15DCF">
              <w:t>t tarbija esitatud info usaldusväärsuse eeldamisega</w:t>
            </w:r>
            <w:r w:rsidR="0065171D">
              <w:t xml:space="preserve">, vaid on rõhutatud, et tarbija sissetuleku puhul tuleb </w:t>
            </w:r>
            <w:r w:rsidR="0020064B">
              <w:t>lähtuda</w:t>
            </w:r>
            <w:r w:rsidR="0065171D">
              <w:t xml:space="preserve"> kõige väiksemast numbrist.</w:t>
            </w:r>
            <w:r w:rsidR="00350D7B">
              <w:rPr>
                <w:rStyle w:val="Allmrkuseviide"/>
              </w:rPr>
              <w:footnoteReference w:id="3"/>
            </w:r>
            <w:r w:rsidR="0065171D">
              <w:t xml:space="preserve"> </w:t>
            </w:r>
            <w:r w:rsidR="0020064B">
              <w:t xml:space="preserve">Seega ei teki ka vastuolu järelevalvepraktikaga. </w:t>
            </w:r>
            <w:r w:rsidR="00EE0751">
              <w:t xml:space="preserve">Tarbija esitatud teabe usaldusväärsuse </w:t>
            </w:r>
            <w:r w:rsidR="004B40B7">
              <w:t xml:space="preserve">absoluutne </w:t>
            </w:r>
            <w:r w:rsidR="00EE0751">
              <w:t xml:space="preserve">eeldamine on vastuolus ka Euroopa Kohtu praktikaga, kus on leitud, et </w:t>
            </w:r>
            <w:r w:rsidR="00526558">
              <w:t>ta</w:t>
            </w:r>
            <w:r w:rsidR="0076280C">
              <w:t xml:space="preserve">rbija esitatud teave peab olema piisav </w:t>
            </w:r>
            <w:r w:rsidR="00923DC8">
              <w:t xml:space="preserve">ja tarbija </w:t>
            </w:r>
            <w:r w:rsidR="009165FE">
              <w:t>avaldatud andmetele peavad olema lisatud asjakohased tõendid.</w:t>
            </w:r>
            <w:r w:rsidR="00021EB5">
              <w:rPr>
                <w:rStyle w:val="Allmrkuseviide"/>
              </w:rPr>
              <w:footnoteReference w:id="4"/>
            </w:r>
            <w:r w:rsidR="009165FE">
              <w:t xml:space="preserve"> </w:t>
            </w:r>
          </w:p>
          <w:p w14:paraId="2D563D32" w14:textId="038E7C27" w:rsidR="00DE1BB4" w:rsidRPr="00412371" w:rsidRDefault="0054434D" w:rsidP="00C914E1">
            <w:r>
              <w:t>VÕS § 403</w:t>
            </w:r>
            <w:r>
              <w:rPr>
                <w:vertAlign w:val="superscript"/>
              </w:rPr>
              <w:t>4</w:t>
            </w:r>
            <w:r>
              <w:t xml:space="preserve"> lg 14</w:t>
            </w:r>
            <w:r w:rsidR="00222490">
              <w:t xml:space="preserve"> tuleb luua selleks, et </w:t>
            </w:r>
            <w:r w:rsidR="00180E41">
              <w:t xml:space="preserve">tagada riigisisese õiguse täpne kooskõla artikli 18 lõikega 7. </w:t>
            </w:r>
            <w:r w:rsidR="0048183F">
              <w:t>Märkuses on viidatud küll direktiivi eesmär</w:t>
            </w:r>
            <w:r w:rsidR="006E1849">
              <w:t>gile, kuid sellega ei saa olla vastuolus direktiivi enda säte, s.o artikli 18 lg 7 samasugusel kujul, nagu on ka VÕS § 403</w:t>
            </w:r>
            <w:r w:rsidR="006E1849">
              <w:rPr>
                <w:vertAlign w:val="superscript"/>
              </w:rPr>
              <w:t>4</w:t>
            </w:r>
            <w:r w:rsidR="006E1849">
              <w:t xml:space="preserve"> lg 14</w:t>
            </w:r>
            <w:r w:rsidR="00C914E1">
              <w:t xml:space="preserve">. </w:t>
            </w:r>
          </w:p>
        </w:tc>
      </w:tr>
      <w:tr w:rsidR="00D22FD2" w14:paraId="7DC5643D" w14:textId="77777777" w:rsidTr="00617FBE">
        <w:tc>
          <w:tcPr>
            <w:tcW w:w="576" w:type="dxa"/>
          </w:tcPr>
          <w:p w14:paraId="640F06E5" w14:textId="29E6E585" w:rsidR="00700E84" w:rsidRDefault="007A08EC" w:rsidP="000179B5">
            <w:pPr>
              <w:jc w:val="center"/>
            </w:pPr>
            <w:r>
              <w:lastRenderedPageBreak/>
              <w:t>16</w:t>
            </w:r>
          </w:p>
        </w:tc>
        <w:tc>
          <w:tcPr>
            <w:tcW w:w="5040" w:type="dxa"/>
          </w:tcPr>
          <w:p w14:paraId="38C188A7" w14:textId="77777777" w:rsidR="00673268" w:rsidRDefault="00700E84" w:rsidP="004E257F">
            <w:r>
              <w:t>Ettepanek</w:t>
            </w:r>
            <w:r w:rsidRPr="00700E84">
              <w:t xml:space="preserve"> asendada eelnõus VÕS § 416</w:t>
            </w:r>
            <w:r>
              <w:rPr>
                <w:vertAlign w:val="superscript"/>
              </w:rPr>
              <w:t>1</w:t>
            </w:r>
            <w:r w:rsidRPr="00700E84">
              <w:t xml:space="preserve"> </w:t>
            </w:r>
            <w:proofErr w:type="spellStart"/>
            <w:r w:rsidRPr="00700E84">
              <w:t>lg-s</w:t>
            </w:r>
            <w:proofErr w:type="spellEnd"/>
            <w:r w:rsidRPr="00700E84">
              <w:t xml:space="preserve"> 1 sõnastus „tarbijakrediidilepingu </w:t>
            </w:r>
            <w:r>
              <w:t>ti</w:t>
            </w:r>
            <w:r w:rsidRPr="00700E84">
              <w:t xml:space="preserve">ngimuste kohtuväliseks muutmiseks või muul kujul osaliselt või täielikult refinantseerimiseks (edaspidi tarbijakrediidilepingu ümberkujundamine)" </w:t>
            </w:r>
            <w:r w:rsidRPr="00700E84">
              <w:lastRenderedPageBreak/>
              <w:t>sõnastusega "tarbijakrediidilepingu osaliselt või täielikult refinantseerimiseks või muul viisil tarbijakrediidilepingu</w:t>
            </w:r>
            <w:r w:rsidR="00165847">
              <w:t xml:space="preserve"> ti</w:t>
            </w:r>
            <w:r w:rsidR="00165847" w:rsidRPr="00700E84">
              <w:t xml:space="preserve">ngimuste </w:t>
            </w:r>
            <w:r w:rsidRPr="00700E84">
              <w:t xml:space="preserve">kohtuväliseks muutmiseks (edaspidi tarbijakrediidilepingu ümberkujundamine)" (või ka restruktureerimine, vt järgmine lõik). See hõlmaks olemasoleva krediidisuhte </w:t>
            </w:r>
            <w:r w:rsidR="00AC3752">
              <w:t>tingimuste</w:t>
            </w:r>
            <w:r w:rsidRPr="00700E84">
              <w:t xml:space="preserve"> kohandamise viise, mille sisuks ei pruugi olla refinantseerimine, ning eristaks selgelt ümberkujundamise (restruktureerimise) </w:t>
            </w:r>
            <w:proofErr w:type="spellStart"/>
            <w:r w:rsidRPr="00700E84">
              <w:t>üldmõistena</w:t>
            </w:r>
            <w:proofErr w:type="spellEnd"/>
            <w:r w:rsidRPr="00700E84">
              <w:t xml:space="preserve"> refinantseerimisest kui selle erijuhtumist. </w:t>
            </w:r>
          </w:p>
          <w:p w14:paraId="2F886ACA" w14:textId="0FFEB063" w:rsidR="00700E84" w:rsidRDefault="00700E84" w:rsidP="004E257F">
            <w:r w:rsidRPr="00700E84">
              <w:t>Ühtlasi palume kaaluda, kas võiks läbivalt nii VÕS §-s 416</w:t>
            </w:r>
            <w:r w:rsidR="00AC3752">
              <w:rPr>
                <w:vertAlign w:val="superscript"/>
              </w:rPr>
              <w:t>1</w:t>
            </w:r>
            <w:r w:rsidRPr="00700E84">
              <w:t xml:space="preserve"> kui KAVS asjakohastes sätetes asendada mõiste "ümberkujundamine" mõistega "restruktureerimine", mis oleks terminoloogiliselt rohkem kooskõlas </w:t>
            </w:r>
            <w:r w:rsidR="00AC3752">
              <w:t>direktiivi</w:t>
            </w:r>
            <w:r w:rsidRPr="00700E84">
              <w:t xml:space="preserve"> ees</w:t>
            </w:r>
            <w:r w:rsidR="00AC3752">
              <w:t>ti</w:t>
            </w:r>
            <w:r w:rsidRPr="00700E84">
              <w:t xml:space="preserve">keelse tõlkega ning FI </w:t>
            </w:r>
            <w:r w:rsidR="00AC3752">
              <w:t>järelevalvepraktikas</w:t>
            </w:r>
            <w:r w:rsidRPr="00700E84">
              <w:t xml:space="preserve"> kasutatud mõistetega</w:t>
            </w:r>
            <w:r w:rsidR="00AC3752">
              <w:t xml:space="preserve">. </w:t>
            </w:r>
          </w:p>
        </w:tc>
        <w:tc>
          <w:tcPr>
            <w:tcW w:w="5016" w:type="dxa"/>
          </w:tcPr>
          <w:p w14:paraId="36BF55DE" w14:textId="4CEA1CEA" w:rsidR="00700E84" w:rsidRDefault="005A26BD" w:rsidP="000179B5">
            <w:pPr>
              <w:ind w:left="-5"/>
              <w:rPr>
                <w:b/>
                <w:bCs/>
              </w:rPr>
            </w:pPr>
            <w:r>
              <w:rPr>
                <w:b/>
                <w:bCs/>
              </w:rPr>
              <w:lastRenderedPageBreak/>
              <w:t>Arvestatud osaliselt</w:t>
            </w:r>
            <w:r w:rsidR="00A67A24" w:rsidRPr="005630B0">
              <w:rPr>
                <w:b/>
                <w:bCs/>
              </w:rPr>
              <w:t xml:space="preserve"> / Selgitatud</w:t>
            </w:r>
            <w:r w:rsidR="005630B0" w:rsidRPr="005630B0">
              <w:rPr>
                <w:b/>
                <w:bCs/>
              </w:rPr>
              <w:t xml:space="preserve">. </w:t>
            </w:r>
          </w:p>
          <w:p w14:paraId="745DAC1E" w14:textId="77777777" w:rsidR="005630B0" w:rsidRDefault="005A26BD" w:rsidP="000179B5">
            <w:pPr>
              <w:ind w:left="-5"/>
            </w:pPr>
            <w:r>
              <w:t xml:space="preserve">Nii </w:t>
            </w:r>
            <w:r w:rsidR="00092E39">
              <w:t xml:space="preserve">tarbijakrediidilepingu osaline või täielik </w:t>
            </w:r>
            <w:r>
              <w:t xml:space="preserve">refinantseerimine kui ka tarbijakrediidilepingu </w:t>
            </w:r>
            <w:r w:rsidR="00092E39">
              <w:t xml:space="preserve">tingimuste muutmine on tarbijakrediidilepingu ümberkujundamise meetmed – tegemist on </w:t>
            </w:r>
            <w:proofErr w:type="spellStart"/>
            <w:r w:rsidR="00092E39">
              <w:lastRenderedPageBreak/>
              <w:t>üldmõistega</w:t>
            </w:r>
            <w:proofErr w:type="spellEnd"/>
            <w:r w:rsidR="00092E39">
              <w:t xml:space="preserve"> ja sellele</w:t>
            </w:r>
            <w:r w:rsidR="00161D55">
              <w:t xml:space="preserve"> tekstiosa</w:t>
            </w:r>
            <w:r w:rsidR="00092E39">
              <w:t xml:space="preserve"> „</w:t>
            </w:r>
            <w:r w:rsidR="00092E39" w:rsidRPr="00700E84">
              <w:t>(edaspidi tarbijakrediidilepingu ümberkujundamine)</w:t>
            </w:r>
            <w:r w:rsidR="00161D55">
              <w:t>“ ka viitab</w:t>
            </w:r>
            <w:r w:rsidR="00B12337">
              <w:t>. Küll aga on VÕS § 416</w:t>
            </w:r>
            <w:r w:rsidR="00B12337">
              <w:rPr>
                <w:vertAlign w:val="superscript"/>
              </w:rPr>
              <w:t>1</w:t>
            </w:r>
            <w:r w:rsidR="00B12337">
              <w:t xml:space="preserve"> lg 3 sõnastust muudetud selliselt, et see viita</w:t>
            </w:r>
            <w:r w:rsidR="00271FAE">
              <w:t>b</w:t>
            </w:r>
            <w:r w:rsidR="00B12337">
              <w:t xml:space="preserve"> selgelt, et tarbijakrediidilepingu ümberkujundamisel </w:t>
            </w:r>
            <w:r w:rsidR="00B12337" w:rsidRPr="00E71AF2">
              <w:t>tuleb</w:t>
            </w:r>
            <w:r w:rsidR="00B12337">
              <w:t xml:space="preserve"> krediidiandjal pakkuda kehtiva tarbijakrediidilepingu tingimuste muutmist</w:t>
            </w:r>
            <w:r w:rsidR="00E71AF2">
              <w:t xml:space="preserve"> </w:t>
            </w:r>
            <w:r w:rsidR="00BF289D">
              <w:t>(</w:t>
            </w:r>
            <w:r w:rsidR="00F852EE">
              <w:t>ehk</w:t>
            </w:r>
            <w:r w:rsidR="00BF289D">
              <w:t xml:space="preserve"> </w:t>
            </w:r>
            <w:r w:rsidR="00F852EE">
              <w:t xml:space="preserve">ümberkujundamisel on lepingu tingimuste muutmise pakkumine kohustuslik) </w:t>
            </w:r>
            <w:r w:rsidR="00E71AF2">
              <w:t xml:space="preserve">ning ta võib pakkuda ka tarbijakrediidilepingu osalist või täielikku refinantseerimist </w:t>
            </w:r>
            <w:r w:rsidR="00F852EE">
              <w:t xml:space="preserve">(ehk </w:t>
            </w:r>
            <w:r w:rsidR="007F3B40">
              <w:t xml:space="preserve">ümberkujundamisel on </w:t>
            </w:r>
            <w:r w:rsidR="00F852EE">
              <w:t>refinantseerimise pakkumine</w:t>
            </w:r>
            <w:r w:rsidR="007F3B40">
              <w:t xml:space="preserve"> valikuline). </w:t>
            </w:r>
          </w:p>
          <w:p w14:paraId="1F759AEE" w14:textId="2BDFE29C" w:rsidR="000D7B59" w:rsidRPr="00B12337" w:rsidRDefault="00F8318A" w:rsidP="000179B5">
            <w:pPr>
              <w:ind w:left="-5"/>
            </w:pPr>
            <w:r>
              <w:t xml:space="preserve">Ümberkujundamise mõiste on </w:t>
            </w:r>
            <w:r w:rsidR="0009160E">
              <w:t>varasem</w:t>
            </w:r>
            <w:r w:rsidR="00C24892">
              <w:t xml:space="preserve"> (nii </w:t>
            </w:r>
            <w:proofErr w:type="spellStart"/>
            <w:r w:rsidR="00C24892">
              <w:t>VÕS-i</w:t>
            </w:r>
            <w:proofErr w:type="spellEnd"/>
            <w:r w:rsidR="00C24892">
              <w:t xml:space="preserve"> kui ka </w:t>
            </w:r>
            <w:proofErr w:type="spellStart"/>
            <w:r w:rsidR="00C24892">
              <w:t>KAVS-i</w:t>
            </w:r>
            <w:proofErr w:type="spellEnd"/>
            <w:r w:rsidR="00C24892">
              <w:t>)</w:t>
            </w:r>
            <w:r w:rsidR="0009160E">
              <w:t xml:space="preserve"> </w:t>
            </w:r>
            <w:r>
              <w:t>terminoloogiline valik ning see ei mõju</w:t>
            </w:r>
            <w:r w:rsidR="00075FD9">
              <w:t xml:space="preserve">ta </w:t>
            </w:r>
            <w:r w:rsidR="00596E51">
              <w:t>sätte</w:t>
            </w:r>
            <w:r w:rsidR="00075FD9">
              <w:t xml:space="preserve"> sisu. </w:t>
            </w:r>
          </w:p>
        </w:tc>
      </w:tr>
      <w:tr w:rsidR="00D22FD2" w14:paraId="5F5C70E7" w14:textId="77777777" w:rsidTr="00617FBE">
        <w:tc>
          <w:tcPr>
            <w:tcW w:w="576" w:type="dxa"/>
          </w:tcPr>
          <w:p w14:paraId="4D19C026" w14:textId="0AB5F456" w:rsidR="00042C42" w:rsidRDefault="007A08EC" w:rsidP="000179B5">
            <w:pPr>
              <w:jc w:val="center"/>
            </w:pPr>
            <w:r>
              <w:lastRenderedPageBreak/>
              <w:t>17</w:t>
            </w:r>
          </w:p>
        </w:tc>
        <w:tc>
          <w:tcPr>
            <w:tcW w:w="5040" w:type="dxa"/>
          </w:tcPr>
          <w:p w14:paraId="6FED5FDF" w14:textId="1A774236" w:rsidR="00042C42" w:rsidRDefault="00235EB0" w:rsidP="004E257F">
            <w:r>
              <w:t>Ettepanek</w:t>
            </w:r>
            <w:r w:rsidRPr="00235EB0">
              <w:t xml:space="preserve"> muuta nii tarbijakrediidilepingu mõistet (VÕS § 402 lg 1) kui ka krediidilepingu mõistet (VÕS § 401 lg 1) selliselt, et seadusest oleks üheselt arusaadav, et krediidileping võib olla nii tasuline leping kui ka tasuta leping, mille puhul antakse kredii</w:t>
            </w:r>
            <w:r>
              <w:t>ti</w:t>
            </w:r>
            <w:r w:rsidRPr="00235EB0">
              <w:t xml:space="preserve"> ilma intressita ega nõuta muude tasude maksmist</w:t>
            </w:r>
            <w:r>
              <w:t xml:space="preserve">. </w:t>
            </w:r>
          </w:p>
        </w:tc>
        <w:tc>
          <w:tcPr>
            <w:tcW w:w="5016" w:type="dxa"/>
          </w:tcPr>
          <w:p w14:paraId="7303F07F" w14:textId="56DB917F" w:rsidR="00042C42" w:rsidRPr="00412371" w:rsidRDefault="5D2D2AE7" w:rsidP="178B8483">
            <w:pPr>
              <w:ind w:left="-5"/>
              <w:rPr>
                <w:b/>
                <w:bCs/>
              </w:rPr>
            </w:pPr>
            <w:r w:rsidRPr="178B8483">
              <w:rPr>
                <w:b/>
                <w:bCs/>
              </w:rPr>
              <w:t xml:space="preserve">Arvestatud osaliselt </w:t>
            </w:r>
            <w:r w:rsidR="674086D4" w:rsidRPr="178B8483">
              <w:rPr>
                <w:b/>
                <w:bCs/>
              </w:rPr>
              <w:t xml:space="preserve">/ </w:t>
            </w:r>
            <w:r w:rsidRPr="178B8483">
              <w:rPr>
                <w:b/>
                <w:bCs/>
              </w:rPr>
              <w:t>selgitatud</w:t>
            </w:r>
          </w:p>
          <w:p w14:paraId="311F2C50" w14:textId="6204D92A" w:rsidR="00042C42" w:rsidRPr="00412371" w:rsidRDefault="5D2D2AE7" w:rsidP="000179B5">
            <w:pPr>
              <w:ind w:left="-5"/>
            </w:pPr>
            <w:r>
              <w:t>Eelnõus on vastavalt muudetud VÕS § 402 sätestatud tarbijakrediidilepingu mõistet ja lisatud eraldi lause selle kohta, et tegemist võib olla nii tasulise kui ka tasuta lepinguga.</w:t>
            </w:r>
          </w:p>
          <w:p w14:paraId="78065B10" w14:textId="5101053C" w:rsidR="00042C42" w:rsidRPr="00412371" w:rsidRDefault="00042C42" w:rsidP="000179B5">
            <w:pPr>
              <w:ind w:left="-5"/>
            </w:pPr>
          </w:p>
          <w:p w14:paraId="0083E7B3" w14:textId="0CEAFC27" w:rsidR="00042C42" w:rsidRPr="00412371" w:rsidRDefault="41106AE9" w:rsidP="000179B5">
            <w:pPr>
              <w:ind w:left="-5"/>
            </w:pPr>
            <w:r>
              <w:t xml:space="preserve">Sama muudatust ei saa aga teha VÕS §-s 401 üldiselt krediidilepingu mõiste kohta. See ei ole direktiivi ülevõtmiseks vajalik ega ka eelnõu sisuline eesmärk. </w:t>
            </w:r>
          </w:p>
        </w:tc>
      </w:tr>
      <w:tr w:rsidR="00D22FD2" w14:paraId="0E822C86" w14:textId="77777777" w:rsidTr="00617FBE">
        <w:tc>
          <w:tcPr>
            <w:tcW w:w="576" w:type="dxa"/>
          </w:tcPr>
          <w:p w14:paraId="7A68127D" w14:textId="0CEBB1A9" w:rsidR="00656188" w:rsidRDefault="007A08EC" w:rsidP="000179B5">
            <w:pPr>
              <w:jc w:val="center"/>
            </w:pPr>
            <w:r>
              <w:t>18</w:t>
            </w:r>
          </w:p>
        </w:tc>
        <w:tc>
          <w:tcPr>
            <w:tcW w:w="5040" w:type="dxa"/>
          </w:tcPr>
          <w:p w14:paraId="13B7EC24" w14:textId="77777777" w:rsidR="00656188" w:rsidRDefault="00656188" w:rsidP="004E257F">
            <w:r>
              <w:t>Ett</w:t>
            </w:r>
            <w:r w:rsidRPr="00656188">
              <w:t>epanekud:</w:t>
            </w:r>
          </w:p>
          <w:p w14:paraId="7DCE580B" w14:textId="6FCC8BB3" w:rsidR="00656188" w:rsidRDefault="00656188" w:rsidP="00656188">
            <w:r>
              <w:t xml:space="preserve">(i) </w:t>
            </w:r>
            <w:r w:rsidRPr="00656188">
              <w:t>kaaluda VÕS § 403 lõike 8 eelnõust välja jätmist, kuna sä</w:t>
            </w:r>
            <w:r>
              <w:t>tt</w:t>
            </w:r>
            <w:r w:rsidRPr="00656188">
              <w:t>e prak</w:t>
            </w:r>
            <w:r>
              <w:t>ti</w:t>
            </w:r>
            <w:r w:rsidRPr="00656188">
              <w:t>line kohaldatavus Ees</w:t>
            </w:r>
            <w:r>
              <w:t>ti</w:t>
            </w:r>
            <w:r w:rsidRPr="00656188">
              <w:t xml:space="preserve"> </w:t>
            </w:r>
            <w:r>
              <w:t>ti</w:t>
            </w:r>
            <w:r w:rsidRPr="00656188">
              <w:t>ngimustes on küsitav</w:t>
            </w:r>
          </w:p>
          <w:p w14:paraId="7F662BB5" w14:textId="77777777" w:rsidR="00D62996" w:rsidRDefault="00656188" w:rsidP="00656188">
            <w:r>
              <w:t>(ii) k</w:t>
            </w:r>
            <w:r w:rsidRPr="00656188">
              <w:t xml:space="preserve">ui lõike 8 välja jätmine ei ole võimalik, siis palume sõnastada säte nii, et sellest tuleb selgelt välja, et see kohaldub vaid suure turujõuga </w:t>
            </w:r>
            <w:r w:rsidR="00D62996">
              <w:t>ettevõtete</w:t>
            </w:r>
            <w:r w:rsidRPr="00656188">
              <w:t xml:space="preserve"> osas, kelle põhitegevuseks on pakkuda infoühiskonna teenuse seaduse tähenduses infoühiskonna teenust, mis seisneb üksnes või eelkõige sidevahendi abil lepingu sõlmimise võimaldamises asjade, teenuste ja muude lepinguesemete pakkumiseks ja seda platvormipõhiselt (nt </w:t>
            </w:r>
            <w:proofErr w:type="spellStart"/>
            <w:r w:rsidRPr="00656188">
              <w:t>Amazon</w:t>
            </w:r>
            <w:proofErr w:type="spellEnd"/>
            <w:r w:rsidRPr="00656188">
              <w:t xml:space="preserve"> jne). Näiteks järgmises sõnastuses: „Kui e</w:t>
            </w:r>
            <w:r w:rsidR="00D62996">
              <w:t>tt</w:t>
            </w:r>
            <w:r w:rsidRPr="00656188">
              <w:t>evõtja, kes pakub põhitegevusena infoühiskonna teenuse seaduse tähenduses infoühiskonna teenust, mis seisneb platvormipõhises sidevahendi abil lepingute sõlmimise võimaldamises asjade, teenuste ja muude lepinguesemete pakkumiseks, ning kes ei ole Euroopa Komisjoni soovituses 2003/361/EÜ määratletud mikro-, väike</w:t>
            </w:r>
            <w:r w:rsidR="00D62996">
              <w:t xml:space="preserve">- </w:t>
            </w:r>
            <w:r w:rsidRPr="00656188">
              <w:t>ega keskmise suurusega e</w:t>
            </w:r>
            <w:r w:rsidR="00D62996">
              <w:t>tt</w:t>
            </w:r>
            <w:r w:rsidRPr="00656188">
              <w:t xml:space="preserve">evõtja, võimaldab enda pakutava </w:t>
            </w:r>
            <w:r w:rsidRPr="00656188">
              <w:lastRenderedPageBreak/>
              <w:t xml:space="preserve">asja, teenuse või muu lepingueseme eest tasumisel maksetähtpäeva tasuta edasilükkamist, ei kohaldata käesolevas jaos sätestatut, kui on täidetud kõik järgmised </w:t>
            </w:r>
            <w:r w:rsidR="00D62996">
              <w:t>tingimused</w:t>
            </w:r>
            <w:r w:rsidRPr="00656188">
              <w:t>:</w:t>
            </w:r>
          </w:p>
          <w:p w14:paraId="44ACFF95" w14:textId="77777777" w:rsidR="00D62996" w:rsidRDefault="00656188" w:rsidP="00D62996">
            <w:pPr>
              <w:pStyle w:val="Loendilik"/>
              <w:numPr>
                <w:ilvl w:val="0"/>
                <w:numId w:val="22"/>
              </w:numPr>
            </w:pPr>
            <w:r w:rsidRPr="00656188">
              <w:t>kolmas isik ei paku asja, teenuse või muu lepingueseme finantseerimiseks kredii</w:t>
            </w:r>
            <w:r w:rsidR="00D62996">
              <w:t>ti</w:t>
            </w:r>
            <w:r w:rsidRPr="00656188">
              <w:t xml:space="preserve"> ega omanda tarbijakrediidilepingust tulenevat nõuet tarbija vastu;</w:t>
            </w:r>
          </w:p>
          <w:p w14:paraId="20C0EA40" w14:textId="77777777" w:rsidR="00D62996" w:rsidRDefault="00656188" w:rsidP="00D62996">
            <w:pPr>
              <w:pStyle w:val="Loendilik"/>
              <w:numPr>
                <w:ilvl w:val="0"/>
                <w:numId w:val="22"/>
              </w:numPr>
            </w:pPr>
            <w:r w:rsidRPr="00656188">
              <w:t>maksetähtpäev on kuni 14 päeva alates asja või muu lepingueseme üleandmisest või teenuse osutamisest;</w:t>
            </w:r>
          </w:p>
          <w:p w14:paraId="4FD46C90" w14:textId="77777777" w:rsidR="00D62996" w:rsidRDefault="00656188" w:rsidP="00D62996">
            <w:pPr>
              <w:pStyle w:val="Loendilik"/>
              <w:numPr>
                <w:ilvl w:val="0"/>
                <w:numId w:val="22"/>
              </w:numPr>
            </w:pPr>
            <w:r w:rsidRPr="00656188">
              <w:t>tasumisega viivitamise korral võib tarbijalt nõuda vaid viivist käesoleva seaduse § 113 lõike 1 teises lauses sätestatud määras ja võla sissenõudmiskulusid vastavalt käesoleva seaduse §-le 113².</w:t>
            </w:r>
          </w:p>
          <w:p w14:paraId="059A519B" w14:textId="37A19002" w:rsidR="00656188" w:rsidRDefault="00656188" w:rsidP="00D62996">
            <w:r w:rsidRPr="00656188">
              <w:t>Kokkuvõ</w:t>
            </w:r>
            <w:r w:rsidR="00D62996">
              <w:t>tt</w:t>
            </w:r>
            <w:r w:rsidRPr="00656188">
              <w:t>es aitab selline täpsustus eristada suured rahvusvahelised interne</w:t>
            </w:r>
            <w:r w:rsidR="00D62996">
              <w:t>ti</w:t>
            </w:r>
            <w:r w:rsidRPr="00656188">
              <w:t>kaubamajad, kellele säte on mõeldud, nendest suure</w:t>
            </w:r>
            <w:r w:rsidR="00A72067">
              <w:t>tt</w:t>
            </w:r>
            <w:r w:rsidRPr="00656188">
              <w:t>evõtetest, kes pakuvad oma kaupade müüki e</w:t>
            </w:r>
            <w:r w:rsidR="00A72067">
              <w:t>-</w:t>
            </w:r>
            <w:r w:rsidRPr="00656188">
              <w:t xml:space="preserve">poes piiratud mahus ja ühe </w:t>
            </w:r>
            <w:proofErr w:type="spellStart"/>
            <w:r w:rsidRPr="00656188">
              <w:t>kõrvaltegevusena</w:t>
            </w:r>
            <w:proofErr w:type="spellEnd"/>
            <w:r w:rsidRPr="00656188">
              <w:t xml:space="preserve"> ning kelle ärimudel ei eelda, et platvormipõhine kaupade müük e-kanalis on nende põhitegevuseks. Juhul kui VÕS § 403 lõike 8 sõnastust vastavalt muudetakse, palume lisada ka seletuskirja täiendavad selgitused</w:t>
            </w:r>
            <w:r w:rsidR="00770EF7">
              <w:t xml:space="preserve">. </w:t>
            </w:r>
          </w:p>
        </w:tc>
        <w:tc>
          <w:tcPr>
            <w:tcW w:w="5016" w:type="dxa"/>
          </w:tcPr>
          <w:p w14:paraId="34690ADB" w14:textId="3CE0C27F" w:rsidR="00656188" w:rsidRPr="00412371" w:rsidRDefault="015289AC" w:rsidP="000179B5">
            <w:pPr>
              <w:ind w:left="-5"/>
            </w:pPr>
            <w:r w:rsidRPr="633F7AB4">
              <w:rPr>
                <w:b/>
              </w:rPr>
              <w:lastRenderedPageBreak/>
              <w:t>Mittearvestatud/selgitatud</w:t>
            </w:r>
          </w:p>
          <w:p w14:paraId="1C7D058C" w14:textId="67CCCE15" w:rsidR="00656188" w:rsidRPr="00412371" w:rsidRDefault="40FBF476" w:rsidP="41302F7B">
            <w:pPr>
              <w:ind w:left="-5"/>
            </w:pPr>
            <w:r>
              <w:t xml:space="preserve">VÕS § 403 lg 8 eelnõust väljajätmine ei ole </w:t>
            </w:r>
            <w:r w:rsidR="1093C7BA">
              <w:t xml:space="preserve">oleks kooskõlas </w:t>
            </w:r>
            <w:r w:rsidR="0E07E7F8">
              <w:t>ettepanekuga taotletavate eesmärkidega</w:t>
            </w:r>
            <w:r w:rsidR="623D2BF0">
              <w:t>. S</w:t>
            </w:r>
            <w:r w:rsidR="103FDDC3">
              <w:t>ee reegel</w:t>
            </w:r>
            <w:r w:rsidR="623D2BF0">
              <w:t xml:space="preserve"> </w:t>
            </w:r>
            <w:r w:rsidR="23ED56AE">
              <w:t xml:space="preserve">vastab täpselt </w:t>
            </w:r>
            <w:r w:rsidR="623D2BF0">
              <w:t xml:space="preserve">direktiivi artikli </w:t>
            </w:r>
            <w:r w:rsidR="52F63CD6">
              <w:t>2</w:t>
            </w:r>
            <w:r w:rsidR="623D2BF0">
              <w:t xml:space="preserve"> punkti h viimase</w:t>
            </w:r>
            <w:r w:rsidR="1E590287">
              <w:t>le</w:t>
            </w:r>
            <w:r w:rsidR="623D2BF0">
              <w:t xml:space="preserve"> alalõigu</w:t>
            </w:r>
            <w:r w:rsidR="3EEC511F">
              <w:t>le</w:t>
            </w:r>
            <w:r w:rsidR="40FD6F99">
              <w:t xml:space="preserve">. </w:t>
            </w:r>
            <w:r w:rsidR="71323C40">
              <w:t>Kuna tegemist on kohaldamisala</w:t>
            </w:r>
            <w:r w:rsidR="38B13579">
              <w:t xml:space="preserve"> välistuse</w:t>
            </w:r>
            <w:r w:rsidR="29C8085F">
              <w:t xml:space="preserve"> sättega, </w:t>
            </w:r>
            <w:r w:rsidR="1893DA07">
              <w:t xml:space="preserve">siis oleks Eestil põhimõtteliselt võimalik </w:t>
            </w:r>
            <w:r w:rsidR="0C7661F0">
              <w:t>tervikuna punkti h mitte rakendada</w:t>
            </w:r>
            <w:r w:rsidR="053ABB59">
              <w:t>. Aga sellisel j</w:t>
            </w:r>
            <w:r w:rsidR="6DCBA2C7">
              <w:t>uhul alluksid kõik nn “osta nüüd, maksa hiljem” tarbijakrediidilepingud täielikult</w:t>
            </w:r>
            <w:r w:rsidR="5F279572">
              <w:t xml:space="preserve">, ilma eelnõu lõigetes 7 ja 8 nimetatud eranditeta </w:t>
            </w:r>
            <w:r w:rsidR="6DCBA2C7">
              <w:t xml:space="preserve"> tarbijakrediidi reeglitele. See ei oleks ag</w:t>
            </w:r>
            <w:r w:rsidR="61C500AF">
              <w:t>a sisuliselt mõistlik</w:t>
            </w:r>
            <w:r w:rsidR="1AE596B8">
              <w:t xml:space="preserve"> ega vastaks ilmselt ka tehtud ettepaneku eesmärgile</w:t>
            </w:r>
            <w:r w:rsidR="6382AC5E">
              <w:t xml:space="preserve">. </w:t>
            </w:r>
          </w:p>
          <w:p w14:paraId="1B773DB0" w14:textId="1162D2C9" w:rsidR="00656188" w:rsidRPr="00412371" w:rsidRDefault="00656188" w:rsidP="41302F7B">
            <w:pPr>
              <w:ind w:left="-5"/>
            </w:pPr>
          </w:p>
          <w:p w14:paraId="3963576F" w14:textId="120EDB9F" w:rsidR="00656188" w:rsidRPr="00412371" w:rsidRDefault="1AE596B8" w:rsidP="41302F7B">
            <w:pPr>
              <w:ind w:left="-5"/>
            </w:pPr>
            <w:r>
              <w:t xml:space="preserve">Lõige 8 vastab </w:t>
            </w:r>
            <w:r w:rsidR="1E9AC782">
              <w:t>artikli 2 punkti h</w:t>
            </w:r>
            <w:r w:rsidR="3DF107CC">
              <w:t xml:space="preserve"> teisele poolele. Kui punkti h rakendada, siis</w:t>
            </w:r>
            <w:r w:rsidR="29C8085F">
              <w:t xml:space="preserve"> tuleb </w:t>
            </w:r>
            <w:r w:rsidR="3DF107CC">
              <w:t>seda teha tervikuna, olenemata</w:t>
            </w:r>
            <w:r w:rsidR="29C8085F">
              <w:t xml:space="preserve"> sellest, </w:t>
            </w:r>
            <w:r w:rsidR="785E798F">
              <w:t>kui</w:t>
            </w:r>
            <w:r w:rsidR="29C8085F">
              <w:t xml:space="preserve"> </w:t>
            </w:r>
            <w:r w:rsidR="785E798F">
              <w:t xml:space="preserve">ulatuslik praktiline väärtus </w:t>
            </w:r>
            <w:r w:rsidR="2AFA68C6">
              <w:t>selle</w:t>
            </w:r>
            <w:r w:rsidR="06C1F662">
              <w:t xml:space="preserve"> teisel poolel</w:t>
            </w:r>
            <w:r w:rsidR="785E798F">
              <w:t xml:space="preserve"> Eesti kontekstis on. </w:t>
            </w:r>
          </w:p>
          <w:p w14:paraId="3103C3BB" w14:textId="0C2EA9EA" w:rsidR="00656188" w:rsidRPr="00412371" w:rsidRDefault="00656188" w:rsidP="41302F7B">
            <w:pPr>
              <w:ind w:left="-5"/>
            </w:pPr>
          </w:p>
          <w:p w14:paraId="0C395518" w14:textId="59965EF7" w:rsidR="00656188" w:rsidRPr="00412371" w:rsidRDefault="785E798F" w:rsidP="000179B5">
            <w:pPr>
              <w:ind w:left="-5"/>
            </w:pPr>
            <w:r>
              <w:t>D</w:t>
            </w:r>
            <w:r w:rsidR="676F3979">
              <w:t>i</w:t>
            </w:r>
            <w:r>
              <w:t>rektiiviga ei oleks kooskõlas ka alternatiivne e</w:t>
            </w:r>
            <w:r w:rsidR="6EA218BC">
              <w:t>ttepanek</w:t>
            </w:r>
            <w:r w:rsidR="5234D135">
              <w:t xml:space="preserve"> siduda selle konkreetse erandi rakendamine täiendava eeldusega, mille kohaseks </w:t>
            </w:r>
            <w:r w:rsidR="5234D135">
              <w:lastRenderedPageBreak/>
              <w:t xml:space="preserve">peaks infoühiskonna teenuse pakkumine olema ettevõtja põhitegevuseks. </w:t>
            </w:r>
            <w:r w:rsidR="46FB05FF">
              <w:t>Direktiivis endas ei ole sellist kitsendust, seetõt</w:t>
            </w:r>
            <w:r w:rsidR="211921CC">
              <w:t>t</w:t>
            </w:r>
            <w:r w:rsidR="46FB05FF">
              <w:t xml:space="preserve">u ei oleks selle riigisiseselt ettenägemine </w:t>
            </w:r>
            <w:r w:rsidR="59C1981B">
              <w:t xml:space="preserve">direktiiviga kooskõlas. </w:t>
            </w:r>
          </w:p>
        </w:tc>
      </w:tr>
      <w:tr w:rsidR="002A6C9D" w14:paraId="051A2C8A" w14:textId="77777777" w:rsidTr="00617FBE">
        <w:tc>
          <w:tcPr>
            <w:tcW w:w="10632" w:type="dxa"/>
            <w:gridSpan w:val="3"/>
          </w:tcPr>
          <w:p w14:paraId="693082E3" w14:textId="59ADFDFD" w:rsidR="000F06FD" w:rsidRPr="00412371" w:rsidRDefault="007A08EC" w:rsidP="000179B5">
            <w:pPr>
              <w:ind w:left="-5"/>
            </w:pPr>
            <w:r>
              <w:lastRenderedPageBreak/>
              <w:t>Isikuandmete kaitse seadus</w:t>
            </w:r>
          </w:p>
        </w:tc>
      </w:tr>
      <w:tr w:rsidR="00D22FD2" w14:paraId="106308F0" w14:textId="77777777" w:rsidTr="00617FBE">
        <w:tc>
          <w:tcPr>
            <w:tcW w:w="576" w:type="dxa"/>
          </w:tcPr>
          <w:p w14:paraId="48CCAE02" w14:textId="282759F2" w:rsidR="000F06FD" w:rsidRDefault="007A08EC" w:rsidP="000179B5">
            <w:pPr>
              <w:jc w:val="center"/>
            </w:pPr>
            <w:r>
              <w:t>19</w:t>
            </w:r>
          </w:p>
        </w:tc>
        <w:tc>
          <w:tcPr>
            <w:tcW w:w="5040" w:type="dxa"/>
          </w:tcPr>
          <w:p w14:paraId="08A62F83" w14:textId="696EE3CE" w:rsidR="00032C67" w:rsidRDefault="001A4F31" w:rsidP="00032C67">
            <w:r>
              <w:t xml:space="preserve">Ettepanek </w:t>
            </w:r>
            <w:r w:rsidRPr="001A4F31">
              <w:t>kaaluda direk</w:t>
            </w:r>
            <w:r>
              <w:t>ti</w:t>
            </w:r>
            <w:r w:rsidRPr="001A4F31">
              <w:t>ivi ar</w:t>
            </w:r>
            <w:r>
              <w:t>ti</w:t>
            </w:r>
            <w:r w:rsidRPr="001A4F31">
              <w:t xml:space="preserve">kli 19 ülevõtmist muus seaduses kui IKS, näiteks </w:t>
            </w:r>
            <w:proofErr w:type="spellStart"/>
            <w:r w:rsidRPr="001A4F31">
              <w:t>KAVS-is</w:t>
            </w:r>
            <w:proofErr w:type="spellEnd"/>
            <w:r w:rsidRPr="001A4F31">
              <w:t xml:space="preserve"> või </w:t>
            </w:r>
            <w:proofErr w:type="spellStart"/>
            <w:r w:rsidRPr="001A4F31">
              <w:t>KAS-is</w:t>
            </w:r>
            <w:proofErr w:type="spellEnd"/>
            <w:r w:rsidRPr="001A4F31">
              <w:t>.</w:t>
            </w:r>
            <w:r w:rsidR="002D6558">
              <w:t xml:space="preserve"> Esiteks ei muuda ainuüksi asjaolu, et regulatsioon puudutab isikuandmete töötlemist, seda automaatselt andmekaitseõiguslikuks põhiregulatsiooniks.</w:t>
            </w:r>
            <w:r w:rsidR="00BF695A">
              <w:t xml:space="preserve"> Teiseks toob regulatsiooni paigutamine </w:t>
            </w:r>
            <w:proofErr w:type="spellStart"/>
            <w:r w:rsidR="00BF695A">
              <w:t>IKS-i</w:t>
            </w:r>
            <w:proofErr w:type="spellEnd"/>
            <w:r w:rsidR="00BF695A">
              <w:t xml:space="preserve"> kaasa süsteemse kõrvalekaldumise seaduse reguleerimisalas.</w:t>
            </w:r>
            <w:r w:rsidR="00032C67">
              <w:t xml:space="preserve"> IKS kehtestab andmetöötluse põhimõ</w:t>
            </w:r>
            <w:r w:rsidR="002C1926">
              <w:t>tt</w:t>
            </w:r>
            <w:r w:rsidR="00032C67">
              <w:t xml:space="preserve">ed ja järelevalveraamistiku. Tarbijakrediidi spetsiifiliste kohustuste lisamine seadusesse laiendab </w:t>
            </w:r>
            <w:proofErr w:type="spellStart"/>
            <w:r w:rsidR="00032C67">
              <w:t>IKS-i</w:t>
            </w:r>
            <w:proofErr w:type="spellEnd"/>
            <w:r w:rsidR="00032C67">
              <w:t xml:space="preserve"> esemelist kohaldamisala valdkondlikuks eriregulatsiooniks, mis ei ole kooskõlas seaduse </w:t>
            </w:r>
          </w:p>
          <w:p w14:paraId="6F3C4E07" w14:textId="09CED54F" w:rsidR="000F06FD" w:rsidRDefault="00032C67" w:rsidP="0009538A">
            <w:r>
              <w:t>ülesehitusega.</w:t>
            </w:r>
            <w:r w:rsidR="00460DE1">
              <w:t xml:space="preserve"> Kolmandaks ei ole veenev argument, et normid ei sobi eraõiguslikku või subjek</w:t>
            </w:r>
            <w:r w:rsidR="002C1926">
              <w:t>ti</w:t>
            </w:r>
            <w:r w:rsidR="00460DE1">
              <w:t xml:space="preserve">põhisesse seadusesse. </w:t>
            </w:r>
            <w:r w:rsidR="002C1926">
              <w:t>N</w:t>
            </w:r>
            <w:r w:rsidR="0009538A">
              <w:t>eljandaks ka viide Saksamaa lahendusele ei ole määrav ega siduv. Riigisisene normitehniline valik peab lähtuma Ees</w:t>
            </w:r>
            <w:r w:rsidR="002C1926">
              <w:t>ti</w:t>
            </w:r>
            <w:r w:rsidR="0009538A">
              <w:t xml:space="preserve"> õigussüsteemi ülesehitusest ja seaduste vahelisest kooskõlast, </w:t>
            </w:r>
            <w:r w:rsidR="002C1926">
              <w:t>mitte</w:t>
            </w:r>
            <w:r w:rsidR="0009538A">
              <w:t xml:space="preserve"> teise liikmesriigi tehnilisest lahendusest.</w:t>
            </w:r>
          </w:p>
        </w:tc>
        <w:tc>
          <w:tcPr>
            <w:tcW w:w="5016" w:type="dxa"/>
          </w:tcPr>
          <w:p w14:paraId="5A9DE386" w14:textId="4395BDCA" w:rsidR="000F06FD" w:rsidRPr="00412371" w:rsidRDefault="40FF7DA9" w:rsidP="000179B5">
            <w:pPr>
              <w:ind w:left="-5"/>
            </w:pPr>
            <w:r w:rsidRPr="564FD134">
              <w:rPr>
                <w:b/>
                <w:bCs/>
              </w:rPr>
              <w:t>Selgitatud</w:t>
            </w:r>
            <w:r>
              <w:t xml:space="preserve">. </w:t>
            </w:r>
          </w:p>
          <w:p w14:paraId="778A516F" w14:textId="505BDA90" w:rsidR="000F06FD" w:rsidRPr="00412371" w:rsidRDefault="40FF7DA9" w:rsidP="000179B5">
            <w:pPr>
              <w:ind w:left="-5"/>
            </w:pPr>
            <w:r>
              <w:t>Eelnõu koostamisel kaaluti seda küsimust põhjalikult</w:t>
            </w:r>
            <w:r w:rsidR="047DEA66">
              <w:t xml:space="preserve">. </w:t>
            </w:r>
            <w:r w:rsidR="15694A45">
              <w:t>Artikkel 19 näol on t</w:t>
            </w:r>
            <w:r w:rsidR="047DEA66">
              <w:t>egemist regulatsiooniga, mis on tarbijakrediidi ja andmekaitse n-ö piirimail</w:t>
            </w:r>
            <w:r w:rsidR="6937003D">
              <w:t xml:space="preserve">, kuid enda sisult </w:t>
            </w:r>
            <w:r w:rsidR="33118CCD">
              <w:t>on siiski te</w:t>
            </w:r>
            <w:r w:rsidR="6ACB52B9">
              <w:t xml:space="preserve">gemist reeglitega, mis kaitsevad tarbija kui andmesubjekti õigusi ja kuuluvad seega temaatiliselt </w:t>
            </w:r>
            <w:proofErr w:type="spellStart"/>
            <w:r w:rsidR="6ACB52B9">
              <w:t>IKS-i</w:t>
            </w:r>
            <w:proofErr w:type="spellEnd"/>
            <w:r w:rsidR="6ACB52B9">
              <w:t xml:space="preserve">. </w:t>
            </w:r>
            <w:r w:rsidR="06AA5CF7">
              <w:t xml:space="preserve">Samuti ei ole artikli 19 ülevõtmiseks ka </w:t>
            </w:r>
            <w:proofErr w:type="spellStart"/>
            <w:r w:rsidR="06AA5CF7">
              <w:t>IKS-ile</w:t>
            </w:r>
            <w:proofErr w:type="spellEnd"/>
            <w:r w:rsidR="06AA5CF7">
              <w:t xml:space="preserve"> mitte ühtegi paremat altern</w:t>
            </w:r>
            <w:r w:rsidR="5771CE1A">
              <w:t xml:space="preserve">atiivi. Nagu eelnõu seletuskirjas on selgitatud, siis KAVS,  KIOS ja KAS on subjektipõhised seadused ja kohalduvad üksnes Finantsinspektsiooni järelevalve subjektidele. </w:t>
            </w:r>
            <w:r w:rsidR="3DFA0DE0">
              <w:t xml:space="preserve">Krediidiregistrite regulatsioon ei sobiks sinna. </w:t>
            </w:r>
            <w:r w:rsidR="492C83D1">
              <w:t xml:space="preserve">Justiits- ja Digiministeerium ei nõustu ka sellega, et </w:t>
            </w:r>
            <w:r w:rsidR="5582A6AA">
              <w:t xml:space="preserve">teiste riikide valikute hindamine oleks asjakohatu. Loomulikult ei ole see määrav ega siduv. Kuid see on üheks kaalutluseks, mida riigisiseste valikute </w:t>
            </w:r>
            <w:r w:rsidR="39A14405">
              <w:t>tegemisel arvestada. Kusjuures, eelnõu koostamisel on võrdlusena tuginetud Saksamaa lahendu</w:t>
            </w:r>
            <w:r w:rsidR="3ECE87A5">
              <w:t>stele, mis on Eesti õigussüsteemi</w:t>
            </w:r>
            <w:r w:rsidR="333424C6">
              <w:t>le</w:t>
            </w:r>
            <w:r w:rsidR="3ECE87A5">
              <w:t xml:space="preserve"> olnud oluliseks eeskujuks. Tervikuna on eelnevat arvestades reeglit</w:t>
            </w:r>
            <w:r w:rsidR="5EF6402D">
              <w:t xml:space="preserve">e </w:t>
            </w:r>
            <w:r w:rsidR="5EF6402D">
              <w:lastRenderedPageBreak/>
              <w:t xml:space="preserve">ettenägemine </w:t>
            </w:r>
            <w:proofErr w:type="spellStart"/>
            <w:r w:rsidR="5EF6402D">
              <w:t>IKS-is</w:t>
            </w:r>
            <w:proofErr w:type="spellEnd"/>
            <w:r w:rsidR="5EF6402D">
              <w:t xml:space="preserve"> </w:t>
            </w:r>
            <w:r w:rsidR="41049255">
              <w:t>võimalikest variantidest parim lahendus.</w:t>
            </w:r>
          </w:p>
        </w:tc>
      </w:tr>
      <w:tr w:rsidR="00D22FD2" w14:paraId="73A1E092" w14:textId="77777777" w:rsidTr="00617FBE">
        <w:tc>
          <w:tcPr>
            <w:tcW w:w="576" w:type="dxa"/>
          </w:tcPr>
          <w:p w14:paraId="5D87EF39" w14:textId="3FE96A4C" w:rsidR="001A4F31" w:rsidRDefault="007A08EC" w:rsidP="000179B5">
            <w:pPr>
              <w:jc w:val="center"/>
            </w:pPr>
            <w:r>
              <w:lastRenderedPageBreak/>
              <w:t>20</w:t>
            </w:r>
          </w:p>
        </w:tc>
        <w:tc>
          <w:tcPr>
            <w:tcW w:w="5040" w:type="dxa"/>
          </w:tcPr>
          <w:p w14:paraId="105B7B9F" w14:textId="77777777" w:rsidR="001A4F31" w:rsidRDefault="006460C5" w:rsidP="004E257F">
            <w:r>
              <w:t>Ettepanek</w:t>
            </w:r>
            <w:r w:rsidRPr="006460C5">
              <w:t xml:space="preserve"> viia IKS § 10</w:t>
            </w:r>
            <w:r>
              <w:rPr>
                <w:vertAlign w:val="superscript"/>
              </w:rPr>
              <w:t>1</w:t>
            </w:r>
            <w:r>
              <w:t xml:space="preserve"> </w:t>
            </w:r>
            <w:r w:rsidRPr="006460C5">
              <w:t>lg 1 sõnastus kooskõlla direk</w:t>
            </w:r>
            <w:r>
              <w:t>ti</w:t>
            </w:r>
            <w:r w:rsidRPr="006460C5">
              <w:t>ivi ar</w:t>
            </w:r>
            <w:r>
              <w:t>ti</w:t>
            </w:r>
            <w:r w:rsidRPr="006460C5">
              <w:t>kkel 19 sõnastusega: andmete reguleerimise asemel reguleerida „andmebaase“</w:t>
            </w:r>
            <w:r>
              <w:t>.</w:t>
            </w:r>
          </w:p>
          <w:p w14:paraId="4CC04819" w14:textId="3658133A" w:rsidR="000369E6" w:rsidRDefault="000369E6" w:rsidP="00B6562F">
            <w:r>
              <w:t>Eelnõus toodud sõnastus on oluliselt laiem sõnastus kui direktiivis. Nimelt kasutab direktiiv sõna „andmebaas“. Eelnõu aga nimetab konkreetseid andmeid, mida registrite poolt töödeldakse. See tähendab, et eelnõu sõnastus viib ka andmete töötlemise ebaselge ulatusega reguleerimiseni, mida ei pruugi isegi direk</w:t>
            </w:r>
            <w:r w:rsidR="009123D0">
              <w:t>ti</w:t>
            </w:r>
            <w:r>
              <w:t>ivi viidatud andmebaasis olla.</w:t>
            </w:r>
            <w:r w:rsidR="009123D0">
              <w:t xml:space="preserve"> Direktiivi</w:t>
            </w:r>
            <w:r>
              <w:t xml:space="preserve"> ar</w:t>
            </w:r>
            <w:r w:rsidR="009123D0">
              <w:t>tiklist</w:t>
            </w:r>
            <w:r>
              <w:t xml:space="preserve"> 19 tulenev kohaldamisala on selgelt piiritletud andmebaasidega, mida kasutatakse tarbija krediidivõimelisuse hindamiseks tarbijakrediidilepingu</w:t>
            </w:r>
            <w:r w:rsidR="00B6562F">
              <w:t xml:space="preserve"> kontekstis</w:t>
            </w:r>
            <w:r>
              <w:t>. Eelnõu kohaldab uusi kohustusi: „registri pidajale, mis sisaldab käesoleva seaduse §-s 10 sätestatud võlasuhte rikkumisega seotud andmeid või muud sarnast tarbija krediidivõimelisuse hindamiseks kasutatavat teavet, sealhulgas tarbija tulevase maksekäitumise tõenäosuse väärtust (krediidiskoori).“ Sõnastus erineb dire</w:t>
            </w:r>
            <w:r w:rsidR="00B6562F">
              <w:t>ktiivi</w:t>
            </w:r>
            <w:r>
              <w:t xml:space="preserve"> sõnastustest, st tegemist on määratlemata õigusmõistega, mis võimaldab regulatsiooni kohaldada ulatuses, mis ületab direk</w:t>
            </w:r>
            <w:r w:rsidR="00B6562F">
              <w:t>tiivist</w:t>
            </w:r>
            <w:r>
              <w:t xml:space="preserve"> tulenevad piirid. Selline sõnastus toob kaasa olukorra, kus IKS § 10</w:t>
            </w:r>
            <w:r w:rsidR="009600BB">
              <w:rPr>
                <w:vertAlign w:val="superscript"/>
              </w:rPr>
              <w:t>1</w:t>
            </w:r>
            <w:r>
              <w:t xml:space="preserve"> lg 1 kohaldatakse ka andmekogudele, mis ei ole </w:t>
            </w:r>
            <w:r w:rsidR="00B6562F">
              <w:t>direktiivi</w:t>
            </w:r>
            <w:r>
              <w:t xml:space="preserve"> tähenduses andmebaasid, vaid mida kasutatakse laiemalt majandusliku tausta hindamiseks või muudes õigussuhetes. </w:t>
            </w:r>
          </w:p>
          <w:p w14:paraId="6849F7EA" w14:textId="47D041F8" w:rsidR="000369E6" w:rsidRDefault="000369E6" w:rsidP="000369E6">
            <w:r>
              <w:t xml:space="preserve">Õigusselguse </w:t>
            </w:r>
            <w:r w:rsidR="00B6562F">
              <w:t>põhimõttest</w:t>
            </w:r>
            <w:r>
              <w:t xml:space="preserve"> tulenevalt peab regulatsiooni kohaldamisala olema üheselt määratletud. Eelnõu sõnastus „muu sarnane teave“ ei sisalda </w:t>
            </w:r>
            <w:r w:rsidR="00B6562F">
              <w:t>objektiivseid</w:t>
            </w:r>
            <w:r>
              <w:t xml:space="preserve"> ega kontrollitavaid kriteeriume, mille alusel oleks võimalik üheselt tuvastada, millised andmekogud kuuluvad </w:t>
            </w:r>
            <w:r w:rsidR="00B6562F">
              <w:t>sätte</w:t>
            </w:r>
            <w:r>
              <w:t xml:space="preserve"> kohaldamisalasse ja millised </w:t>
            </w:r>
            <w:r w:rsidR="00B6562F">
              <w:t>mitte</w:t>
            </w:r>
            <w:r>
              <w:t xml:space="preserve">. Seega eelnõu sõnastus ei taga piisavat </w:t>
            </w:r>
            <w:r w:rsidR="009600BB">
              <w:t>etteaimavatust</w:t>
            </w:r>
            <w:r>
              <w:t xml:space="preserve"> registripidajatele ega võimalda selgelt hinnata regulatsiooni </w:t>
            </w:r>
          </w:p>
          <w:p w14:paraId="78B8CAB5" w14:textId="77777777" w:rsidR="000369E6" w:rsidRDefault="000369E6" w:rsidP="000369E6">
            <w:r>
              <w:t xml:space="preserve">ulatust. </w:t>
            </w:r>
          </w:p>
          <w:p w14:paraId="27E4E458" w14:textId="4B89D575" w:rsidR="000369E6" w:rsidRDefault="009600BB" w:rsidP="000369E6">
            <w:r>
              <w:t>Direktiivi</w:t>
            </w:r>
            <w:r w:rsidR="000369E6">
              <w:t xml:space="preserve"> eesmärk ei ole reguleerida mis tahes andmeid või ka mis tahes andmekogusid, mis võivad sisaldada majanduslikku või maksekäitumist puudutavat teavet, vaid spetsiifiliselt krediidivõimelisuse hindamiseks kasutatavaid krediidiandmebaase. Seega IKS </w:t>
            </w:r>
          </w:p>
          <w:p w14:paraId="42F132E7" w14:textId="5073A3B1" w:rsidR="000369E6" w:rsidRDefault="000369E6" w:rsidP="000369E6">
            <w:r>
              <w:lastRenderedPageBreak/>
              <w:t>§ 10</w:t>
            </w:r>
            <w:r w:rsidR="00426958">
              <w:rPr>
                <w:vertAlign w:val="superscript"/>
              </w:rPr>
              <w:t>1</w:t>
            </w:r>
            <w:r>
              <w:t xml:space="preserve"> lg 1 sõnastus ei ole kooskõlas direk</w:t>
            </w:r>
            <w:r w:rsidR="00426958">
              <w:t>ti</w:t>
            </w:r>
            <w:r>
              <w:t xml:space="preserve">ivi sõnastuse/terminiga ning viib andmete töötlemise ebaselge ulatusega reguleerimiseni, mida ei pruugi isegi </w:t>
            </w:r>
            <w:r w:rsidR="00426958">
              <w:t>direktiivi</w:t>
            </w:r>
            <w:r>
              <w:t xml:space="preserve"> viidatud andmebaasis olla. </w:t>
            </w:r>
          </w:p>
        </w:tc>
        <w:tc>
          <w:tcPr>
            <w:tcW w:w="5016" w:type="dxa"/>
          </w:tcPr>
          <w:p w14:paraId="3474CD91" w14:textId="1E7C71A7" w:rsidR="019B64A1" w:rsidRDefault="019B64A1" w:rsidP="500CC8C3">
            <w:pPr>
              <w:ind w:left="-5"/>
              <w:rPr>
                <w:b/>
                <w:bCs/>
              </w:rPr>
            </w:pPr>
            <w:r w:rsidRPr="074166F5">
              <w:rPr>
                <w:b/>
                <w:bCs/>
              </w:rPr>
              <w:lastRenderedPageBreak/>
              <w:t>Mittearvestatud / selgitatud.</w:t>
            </w:r>
          </w:p>
          <w:p w14:paraId="7788C603" w14:textId="07038EB8" w:rsidR="001A4F31" w:rsidRPr="00412371" w:rsidRDefault="431F5EA7" w:rsidP="564FD134">
            <w:pPr>
              <w:ind w:left="-5"/>
            </w:pPr>
            <w:r>
              <w:t xml:space="preserve">Eelnõu on direktiivi artikliga 19 kooskõlas. </w:t>
            </w:r>
          </w:p>
          <w:p w14:paraId="53664E73" w14:textId="30955637" w:rsidR="001A4F31" w:rsidRPr="00412371" w:rsidRDefault="431F5EA7" w:rsidP="074166F5">
            <w:pPr>
              <w:ind w:left="-5"/>
            </w:pPr>
            <w:r>
              <w:t>Esiteks on oluline, et s</w:t>
            </w:r>
            <w:r w:rsidR="2B5138AE">
              <w:t>ee</w:t>
            </w:r>
            <w:r w:rsidR="0AA83760">
              <w:t xml:space="preserve">, kas kasutada eelnõus sõna </w:t>
            </w:r>
            <w:r w:rsidR="0AA83760" w:rsidRPr="074166F5">
              <w:rPr>
                <w:i/>
                <w:iCs/>
              </w:rPr>
              <w:t xml:space="preserve">register </w:t>
            </w:r>
            <w:r w:rsidR="0AA83760">
              <w:t xml:space="preserve">või </w:t>
            </w:r>
            <w:r w:rsidR="0AA83760" w:rsidRPr="074166F5">
              <w:rPr>
                <w:i/>
                <w:iCs/>
              </w:rPr>
              <w:t>andmebaas</w:t>
            </w:r>
            <w:r w:rsidR="5E730C1C">
              <w:t>,</w:t>
            </w:r>
            <w:r w:rsidR="2B5138AE">
              <w:t xml:space="preserve"> on terminoloogiline küsimus</w:t>
            </w:r>
            <w:r w:rsidR="4CF0CA88">
              <w:t xml:space="preserve">, mis ei mõjuta eelnõu sisu. Sõltumata sellest, kas nimetada seda andmete kogumit andmebaasiks, andmekoguks või registriks, on sisuline tulemus sama. </w:t>
            </w:r>
          </w:p>
          <w:p w14:paraId="57BB12EA" w14:textId="1F1FD7B5" w:rsidR="001A4F31" w:rsidRPr="00412371" w:rsidRDefault="001A4F31" w:rsidP="564FD134">
            <w:pPr>
              <w:ind w:left="-5"/>
            </w:pPr>
          </w:p>
          <w:p w14:paraId="6C37DDF8" w14:textId="01BDAC55" w:rsidR="001A4F31" w:rsidRPr="00412371" w:rsidRDefault="08FD973E" w:rsidP="000179B5">
            <w:pPr>
              <w:ind w:left="-5"/>
            </w:pPr>
            <w:r>
              <w:t xml:space="preserve">Termin </w:t>
            </w:r>
            <w:r w:rsidR="09F126C3" w:rsidRPr="7B12EA09">
              <w:rPr>
                <w:i/>
                <w:iCs/>
              </w:rPr>
              <w:t>r</w:t>
            </w:r>
            <w:r w:rsidR="4CF0CA88" w:rsidRPr="7B12EA09">
              <w:rPr>
                <w:i/>
                <w:iCs/>
              </w:rPr>
              <w:t>egister</w:t>
            </w:r>
            <w:r w:rsidR="4CF0CA88">
              <w:t xml:space="preserve"> vastab</w:t>
            </w:r>
            <w:r w:rsidR="7F234ACB">
              <w:t xml:space="preserve"> hetkel Riigikogu menetluses oleva krediiditeabe jagamise seaduse</w:t>
            </w:r>
            <w:r w:rsidR="4CF0CA88">
              <w:t xml:space="preserve"> eelnõu </w:t>
            </w:r>
            <w:r w:rsidR="51DC255D">
              <w:t>sõnastusele. Sellise kooskõla tagamine (ka sõnastuslikult) on oluline</w:t>
            </w:r>
            <w:r w:rsidR="35377B22">
              <w:t xml:space="preserve">, kuivõrd loodavad </w:t>
            </w:r>
            <w:proofErr w:type="spellStart"/>
            <w:r w:rsidR="35377B22">
              <w:t>IKS-i</w:t>
            </w:r>
            <w:proofErr w:type="spellEnd"/>
            <w:r w:rsidR="35377B22">
              <w:t xml:space="preserve"> reeglid </w:t>
            </w:r>
            <w:r w:rsidR="11186E8B">
              <w:t>hakkavad tulevikus kohald</w:t>
            </w:r>
            <w:r w:rsidR="6A426EC3">
              <w:t>u</w:t>
            </w:r>
            <w:r w:rsidR="11186E8B">
              <w:t xml:space="preserve">ma ka krediiditeabe jagamise seaduse kohaselt tegutsevale krediiditeaberegistrile. On loogiline, et </w:t>
            </w:r>
            <w:proofErr w:type="spellStart"/>
            <w:r w:rsidR="11186E8B">
              <w:t>IKS-i</w:t>
            </w:r>
            <w:proofErr w:type="spellEnd"/>
            <w:r w:rsidR="11186E8B">
              <w:t xml:space="preserve"> sõnastus arvestab krediiditeabe jagamise seaduse eelnõu sõnastusega</w:t>
            </w:r>
            <w:r w:rsidR="0E78CFE0">
              <w:t xml:space="preserve">. </w:t>
            </w:r>
            <w:r w:rsidR="2FF0C224">
              <w:t xml:space="preserve">Vastavad selgitused on lisatud eelnõu seletuskirja. </w:t>
            </w:r>
          </w:p>
          <w:p w14:paraId="2B9E025D" w14:textId="296BF9AC" w:rsidR="001A4F31" w:rsidRPr="00412371" w:rsidRDefault="001A4F31" w:rsidP="000179B5">
            <w:pPr>
              <w:ind w:left="-5"/>
            </w:pPr>
          </w:p>
          <w:p w14:paraId="6A928117" w14:textId="08853832" w:rsidR="001A4F31" w:rsidRPr="00412371" w:rsidRDefault="46F9B318" w:rsidP="000179B5">
            <w:pPr>
              <w:ind w:left="-5"/>
            </w:pPr>
            <w:r>
              <w:t xml:space="preserve">Teiseks. </w:t>
            </w:r>
            <w:r w:rsidR="71FC9A66">
              <w:t>Eelnõ</w:t>
            </w:r>
            <w:r w:rsidR="3704772B">
              <w:t>u</w:t>
            </w:r>
            <w:r w:rsidR="3E00E549">
              <w:t xml:space="preserve"> terminoloogia</w:t>
            </w:r>
            <w:r w:rsidR="71FC9A66">
              <w:t xml:space="preserve"> </w:t>
            </w:r>
            <w:r w:rsidR="5BB298DA">
              <w:t xml:space="preserve">ja ka lõikes 1 selle sisustamine, missuguseid </w:t>
            </w:r>
            <w:r w:rsidR="212A803D">
              <w:t>andmeid sisaldavad registris kõnealuse paragrahvi kohaldamisalas on, ei ole vastuolus artikliga 19.</w:t>
            </w:r>
            <w:r w:rsidR="555B8012">
              <w:t xml:space="preserve"> </w:t>
            </w:r>
            <w:r w:rsidR="1B2DF0AB">
              <w:t xml:space="preserve">Lõike </w:t>
            </w:r>
            <w:r w:rsidR="2A8BB6FB">
              <w:t>1</w:t>
            </w:r>
            <w:r w:rsidR="1B2DF0AB">
              <w:t xml:space="preserve"> täiendused on selgitava iseloomuga. </w:t>
            </w:r>
            <w:r w:rsidR="331D52B1">
              <w:t xml:space="preserve">Nende </w:t>
            </w:r>
            <w:r w:rsidR="1EDF6A2C">
              <w:t>mõte on tagada</w:t>
            </w:r>
            <w:r w:rsidR="1B2DF0AB">
              <w:t xml:space="preserve">, et regulatsioon oleks 1) arusaadav 2) piiritletud selliselt, et see vastaks direktiivi eesmärgile hõlmata just krediidiregistrid, mitte mis tahes andmekogud, kust võiks tarbijate krediidivõime hindamiseks materjale saada. Ilma sellise täienduseta ei oleks lõike </w:t>
            </w:r>
            <w:r w:rsidR="2AE333E8">
              <w:t>1</w:t>
            </w:r>
            <w:r w:rsidR="1B2DF0AB">
              <w:t xml:space="preserve"> sõnastus Justiits- ja Digiministeeriumi hinnangul piisavalt selgelt määratletud.</w:t>
            </w:r>
            <w:r w:rsidR="7C814618">
              <w:t xml:space="preserve"> Need selgitused ja põhjendused on esitatud ka eelnõu seletuskirjas. </w:t>
            </w:r>
          </w:p>
          <w:p w14:paraId="30DB90AF" w14:textId="26CABBC1" w:rsidR="001A4F31" w:rsidRPr="00412371" w:rsidRDefault="001A4F31" w:rsidP="000179B5">
            <w:pPr>
              <w:ind w:left="-5"/>
            </w:pPr>
          </w:p>
          <w:p w14:paraId="3A3A8F8D" w14:textId="3975F9CD" w:rsidR="001A4F31" w:rsidRPr="00412371" w:rsidRDefault="7C814618" w:rsidP="00C92770">
            <w:pPr>
              <w:ind w:left="-5"/>
            </w:pPr>
            <w:r>
              <w:t xml:space="preserve">Seega lõike 1 regulatsiooni mõte on just </w:t>
            </w:r>
            <w:proofErr w:type="spellStart"/>
            <w:r w:rsidR="0AACBA12">
              <w:t>IKS-i</w:t>
            </w:r>
            <w:proofErr w:type="spellEnd"/>
            <w:r w:rsidR="0AACBA12">
              <w:t xml:space="preserve"> lisatava uue </w:t>
            </w:r>
            <w:r w:rsidR="0AACBA12" w:rsidRPr="4DC6FE60">
              <w:rPr>
                <w:rFonts w:eastAsia="Times New Roman"/>
                <w:color w:val="000000" w:themeColor="text1"/>
              </w:rPr>
              <w:t>§ 10</w:t>
            </w:r>
            <w:r w:rsidR="0AACBA12" w:rsidRPr="4DC6FE60">
              <w:rPr>
                <w:rFonts w:eastAsia="Times New Roman"/>
                <w:color w:val="000000" w:themeColor="text1"/>
                <w:vertAlign w:val="superscript"/>
              </w:rPr>
              <w:t>1</w:t>
            </w:r>
            <w:r w:rsidR="0AACBA12" w:rsidRPr="4DC6FE60">
              <w:rPr>
                <w:rFonts w:eastAsia="Times New Roman"/>
                <w:color w:val="000000" w:themeColor="text1"/>
              </w:rPr>
              <w:t xml:space="preserve"> kohaldamisala piiritlemine. </w:t>
            </w:r>
            <w:r w:rsidR="0B64D4A0" w:rsidRPr="4DC6FE60">
              <w:rPr>
                <w:rFonts w:eastAsia="Times New Roman"/>
                <w:color w:val="000000" w:themeColor="text1"/>
              </w:rPr>
              <w:t xml:space="preserve">Viide </w:t>
            </w:r>
            <w:r w:rsidR="0B64D4A0" w:rsidRPr="4DC6FE60">
              <w:rPr>
                <w:rFonts w:eastAsia="Times New Roman"/>
                <w:i/>
                <w:iCs/>
                <w:color w:val="000000" w:themeColor="text1"/>
              </w:rPr>
              <w:t xml:space="preserve">muule </w:t>
            </w:r>
            <w:r w:rsidR="4A296EF0" w:rsidRPr="4DC6FE60">
              <w:rPr>
                <w:rFonts w:eastAsia="Times New Roman"/>
                <w:i/>
                <w:iCs/>
                <w:color w:val="000000" w:themeColor="text1"/>
              </w:rPr>
              <w:t>sarnasele tarbija krediidivõimelisuse hindamiseks kasutatavale teabele</w:t>
            </w:r>
            <w:r w:rsidR="4A296EF0" w:rsidRPr="4DC6FE60">
              <w:rPr>
                <w:rFonts w:eastAsia="Times New Roman"/>
                <w:color w:val="000000" w:themeColor="text1"/>
              </w:rPr>
              <w:t xml:space="preserve"> hõlmab</w:t>
            </w:r>
            <w:r w:rsidR="780539E3" w:rsidRPr="4DC6FE60">
              <w:rPr>
                <w:rFonts w:eastAsia="Times New Roman"/>
                <w:color w:val="000000" w:themeColor="text1"/>
              </w:rPr>
              <w:t xml:space="preserve"> tulevikus positiivset </w:t>
            </w:r>
            <w:proofErr w:type="spellStart"/>
            <w:r w:rsidR="780539E3" w:rsidRPr="4DC6FE60">
              <w:rPr>
                <w:rFonts w:eastAsia="Times New Roman"/>
                <w:color w:val="000000" w:themeColor="text1"/>
              </w:rPr>
              <w:t>krediidiinfot</w:t>
            </w:r>
            <w:proofErr w:type="spellEnd"/>
            <w:r w:rsidR="780539E3" w:rsidRPr="4DC6FE60">
              <w:rPr>
                <w:rFonts w:eastAsia="Times New Roman"/>
                <w:color w:val="000000" w:themeColor="text1"/>
              </w:rPr>
              <w:t xml:space="preserve"> ning ühe eraldi mainitud näitena krediidiskoore. Seda, miks on vajalik selgelt ära tuua, et reguleerimisalasse on hõlmatud negatiivne ja positiivne </w:t>
            </w:r>
            <w:proofErr w:type="spellStart"/>
            <w:r w:rsidR="780539E3" w:rsidRPr="4DC6FE60">
              <w:rPr>
                <w:rFonts w:eastAsia="Times New Roman"/>
                <w:color w:val="000000" w:themeColor="text1"/>
              </w:rPr>
              <w:t>krediidiinfo</w:t>
            </w:r>
            <w:proofErr w:type="spellEnd"/>
            <w:r w:rsidR="780539E3" w:rsidRPr="4DC6FE60">
              <w:rPr>
                <w:rFonts w:eastAsia="Times New Roman"/>
                <w:color w:val="000000" w:themeColor="text1"/>
              </w:rPr>
              <w:t xml:space="preserve"> ning ka krediidiskoorid, on samuti põhjendatud seletuskirjas (ja ka allpool toodud märkuse vastuses).</w:t>
            </w:r>
            <w:r w:rsidR="611780C1" w:rsidRPr="4DC6FE60">
              <w:rPr>
                <w:rFonts w:eastAsia="Times New Roman"/>
                <w:color w:val="000000" w:themeColor="text1"/>
              </w:rPr>
              <w:t xml:space="preserve"> Kuna positiivset </w:t>
            </w:r>
            <w:proofErr w:type="spellStart"/>
            <w:r w:rsidR="611780C1" w:rsidRPr="4DC6FE60">
              <w:rPr>
                <w:rFonts w:eastAsia="Times New Roman"/>
                <w:color w:val="000000" w:themeColor="text1"/>
              </w:rPr>
              <w:t>krediidiinfot</w:t>
            </w:r>
            <w:proofErr w:type="spellEnd"/>
            <w:r w:rsidR="611780C1" w:rsidRPr="4DC6FE60">
              <w:rPr>
                <w:rFonts w:eastAsia="Times New Roman"/>
                <w:color w:val="000000" w:themeColor="text1"/>
              </w:rPr>
              <w:t xml:space="preserve"> </w:t>
            </w:r>
            <w:r w:rsidR="611780C1" w:rsidRPr="7C3CE6FA">
              <w:rPr>
                <w:rFonts w:eastAsia="Times New Roman"/>
                <w:color w:val="000000" w:themeColor="text1"/>
              </w:rPr>
              <w:t>sisaldava</w:t>
            </w:r>
            <w:r w:rsidR="586D2F83" w:rsidRPr="7C3CE6FA">
              <w:rPr>
                <w:rFonts w:eastAsia="Times New Roman"/>
                <w:color w:val="000000" w:themeColor="text1"/>
              </w:rPr>
              <w:t>t</w:t>
            </w:r>
            <w:r w:rsidR="611780C1" w:rsidRPr="4DC6FE60">
              <w:rPr>
                <w:rFonts w:eastAsia="Times New Roman"/>
                <w:color w:val="000000" w:themeColor="text1"/>
              </w:rPr>
              <w:t xml:space="preserve"> registrit eelnõu koostamise ajal veel ei </w:t>
            </w:r>
            <w:r w:rsidR="393F0D91" w:rsidRPr="4DC6FE60">
              <w:rPr>
                <w:rFonts w:eastAsia="Times New Roman"/>
                <w:color w:val="000000" w:themeColor="text1"/>
              </w:rPr>
              <w:t xml:space="preserve">ole ning krediidiskoor on teisalt jällegi hetkel praktikas </w:t>
            </w:r>
            <w:r w:rsidR="393F0D91" w:rsidRPr="4DC6FE60">
              <w:rPr>
                <w:rFonts w:eastAsia="Times New Roman"/>
                <w:color w:val="000000" w:themeColor="text1"/>
              </w:rPr>
              <w:lastRenderedPageBreak/>
              <w:t>kasutatav näitaja, kuid ei ole välistatud, et tulevikus praktika muutub ja turule tekivad ka sarnased muud näitajad, siis on lõikesse 1 siiski soovitud jätta teatavat paindlikkust</w:t>
            </w:r>
            <w:r w:rsidR="78038191" w:rsidRPr="4DC6FE60">
              <w:rPr>
                <w:rFonts w:eastAsia="Times New Roman"/>
                <w:color w:val="000000" w:themeColor="text1"/>
              </w:rPr>
              <w:t>. Seda võimaldabki muule sarnasele krediidivõimelisuse hindamiseks kasutatavale teabele viitamine. See</w:t>
            </w:r>
            <w:r w:rsidR="5A93B121" w:rsidRPr="4DC6FE60">
              <w:rPr>
                <w:rFonts w:eastAsia="Times New Roman"/>
                <w:color w:val="000000" w:themeColor="text1"/>
              </w:rPr>
              <w:t xml:space="preserve">, et seaduse tekst on taotluslikult jäetud üldisemaks, et tagada selle tulevikukindlus ja sobitumine võimalike erinevate üksikjuhtumite asjaoludega, on praktikas tavapärane. </w:t>
            </w:r>
            <w:r w:rsidR="78038191" w:rsidRPr="4DC6FE60">
              <w:rPr>
                <w:rFonts w:eastAsia="Times New Roman"/>
                <w:color w:val="000000" w:themeColor="text1"/>
              </w:rPr>
              <w:t xml:space="preserve">Eelnõu seletuskiri annab aga juhised </w:t>
            </w:r>
            <w:r w:rsidR="45289CD3" w:rsidRPr="4DC6FE60">
              <w:rPr>
                <w:rFonts w:eastAsia="Times New Roman"/>
                <w:color w:val="000000" w:themeColor="text1"/>
              </w:rPr>
              <w:t>selle rakendumisest eelnõu koostamise</w:t>
            </w:r>
            <w:r w:rsidR="78038191" w:rsidRPr="4DC6FE60">
              <w:rPr>
                <w:rFonts w:eastAsia="Times New Roman"/>
                <w:color w:val="000000" w:themeColor="text1"/>
              </w:rPr>
              <w:t xml:space="preserve"> </w:t>
            </w:r>
            <w:r w:rsidR="260183A1" w:rsidRPr="4DC6FE60">
              <w:rPr>
                <w:rFonts w:eastAsia="Times New Roman"/>
                <w:color w:val="000000" w:themeColor="text1"/>
              </w:rPr>
              <w:t xml:space="preserve">ajal </w:t>
            </w:r>
            <w:r w:rsidR="59E2EE5F" w:rsidRPr="55CB3681">
              <w:rPr>
                <w:rFonts w:eastAsia="Times New Roman"/>
                <w:color w:val="000000" w:themeColor="text1"/>
              </w:rPr>
              <w:t>silmas peetud olukordade</w:t>
            </w:r>
            <w:r w:rsidR="260183A1" w:rsidRPr="55CB3681">
              <w:rPr>
                <w:rFonts w:eastAsia="Times New Roman"/>
                <w:color w:val="000000" w:themeColor="text1"/>
              </w:rPr>
              <w:t xml:space="preserve"> </w:t>
            </w:r>
            <w:r w:rsidR="78038191" w:rsidRPr="55CB3681">
              <w:rPr>
                <w:rFonts w:eastAsia="Times New Roman"/>
                <w:color w:val="000000" w:themeColor="text1"/>
              </w:rPr>
              <w:t xml:space="preserve">kohta. </w:t>
            </w:r>
          </w:p>
        </w:tc>
      </w:tr>
      <w:tr w:rsidR="00D22FD2" w14:paraId="6663FB7B" w14:textId="77777777" w:rsidTr="00617FBE">
        <w:tc>
          <w:tcPr>
            <w:tcW w:w="576" w:type="dxa"/>
          </w:tcPr>
          <w:p w14:paraId="1C6C8E4D" w14:textId="29AE1AEC" w:rsidR="00DD563A" w:rsidRDefault="007A08EC" w:rsidP="000179B5">
            <w:pPr>
              <w:jc w:val="center"/>
            </w:pPr>
            <w:r>
              <w:lastRenderedPageBreak/>
              <w:t>21</w:t>
            </w:r>
          </w:p>
        </w:tc>
        <w:tc>
          <w:tcPr>
            <w:tcW w:w="5040" w:type="dxa"/>
          </w:tcPr>
          <w:p w14:paraId="6B54B333" w14:textId="57CE6BCC" w:rsidR="00825B0B" w:rsidRDefault="00825B0B" w:rsidP="00825B0B">
            <w:r>
              <w:t>Ettepanek viia IKS § 10</w:t>
            </w:r>
            <w:r>
              <w:rPr>
                <w:vertAlign w:val="superscript"/>
              </w:rPr>
              <w:t>1</w:t>
            </w:r>
            <w:r>
              <w:t xml:space="preserve"> lg 2 sõnastus kooskõlla direktiivi artikkel 19 sõnastusega ning eemaldada registrite kohustus kontrollida, kas tarbijakrediiti pakkuv krediidiandja järgib IKÜM-i nõudeid</w:t>
            </w:r>
          </w:p>
          <w:p w14:paraId="0B9BD759" w14:textId="35A844A1" w:rsidR="00DD563A" w:rsidRDefault="00825B0B" w:rsidP="00DD563A">
            <w:r>
              <w:t>Direktiivi</w:t>
            </w:r>
            <w:r w:rsidR="00DD563A">
              <w:t xml:space="preserve"> art 19 lg 2 kohaselt peavad liikmesriigid tagama, et juurdepääs on üksnes järelevalve all olevatel ja IKÜM-i järgivatelt krediidiandjatel. IKS § 10</w:t>
            </w:r>
            <w:r>
              <w:rPr>
                <w:vertAlign w:val="superscript"/>
              </w:rPr>
              <w:t>1</w:t>
            </w:r>
            <w:r w:rsidR="00DD563A">
              <w:t xml:space="preserve"> lg 2 paneb aga hoopis registripidajale sisulise kontrollikohustuse hinnata krediidiandja andmekaitsenõuete järgimist, varasemaid rikkumisi ja esitatud kinnituste piisavust. </w:t>
            </w:r>
            <w:r>
              <w:t>Direktiiv</w:t>
            </w:r>
            <w:r w:rsidR="00DD563A">
              <w:t xml:space="preserve"> ei näe e</w:t>
            </w:r>
            <w:r>
              <w:t>tt</w:t>
            </w:r>
            <w:r w:rsidR="00DD563A">
              <w:t>e, et andmebaasi pidajale (vastutava töötlejana) kohustust teostada sisulist andmekaitsealast audi</w:t>
            </w:r>
            <w:r>
              <w:t>ti</w:t>
            </w:r>
            <w:r w:rsidR="00DD563A">
              <w:t xml:space="preserve">t krediidiandja üle. Seega </w:t>
            </w:r>
            <w:proofErr w:type="spellStart"/>
            <w:r w:rsidR="00DD563A">
              <w:t>lg-st</w:t>
            </w:r>
            <w:proofErr w:type="spellEnd"/>
            <w:r w:rsidR="00DD563A">
              <w:t xml:space="preserve"> 2 tulenev kohustus on olemuslikult riikliku järelevalve ülesanne, st eelnõust tulenev registripidaja kontrollikohustus on</w:t>
            </w:r>
            <w:r>
              <w:t xml:space="preserve"> </w:t>
            </w:r>
            <w:r w:rsidR="00DD563A">
              <w:t>ebaproportsionaalne ning õiguslikult ebaselge, väljudes ilmselgelt direk</w:t>
            </w:r>
            <w:r w:rsidR="00FE4E4D">
              <w:t>ti</w:t>
            </w:r>
            <w:r w:rsidR="00DD563A">
              <w:t>ivi piiridest. Register saab ainult kontrollida, kas krediidiandjal, kes soovib juurdepääsu on FI luba vastavas valdkonnas tegutseda ning ega AKI ei ole teinud otsuseid, millest nähtuks, et krediidiandja ei järgi IKÜM-i nõudeid.</w:t>
            </w:r>
          </w:p>
        </w:tc>
        <w:tc>
          <w:tcPr>
            <w:tcW w:w="5016" w:type="dxa"/>
          </w:tcPr>
          <w:p w14:paraId="5BD63A47" w14:textId="77777777" w:rsidR="00474866" w:rsidRPr="00171521" w:rsidRDefault="00474866" w:rsidP="00474866">
            <w:pPr>
              <w:ind w:left="-5"/>
              <w:rPr>
                <w:b/>
                <w:bCs/>
              </w:rPr>
            </w:pPr>
            <w:r w:rsidRPr="00171521">
              <w:rPr>
                <w:b/>
                <w:bCs/>
              </w:rPr>
              <w:t>Arvestatud.</w:t>
            </w:r>
          </w:p>
          <w:p w14:paraId="74A12DB9" w14:textId="3D9F8012" w:rsidR="00DD563A" w:rsidRPr="500CC8C3" w:rsidRDefault="00241CAA" w:rsidP="00474866">
            <w:pPr>
              <w:ind w:left="-5"/>
            </w:pPr>
            <w:r w:rsidRPr="4DC6FE60">
              <w:rPr>
                <w:rFonts w:eastAsia="Times New Roman"/>
                <w:color w:val="000000" w:themeColor="text1"/>
              </w:rPr>
              <w:t>Eelnõu lõige 2 on täpses vastavuses direktiivi artikli 19 lõikega 2</w:t>
            </w:r>
            <w:r>
              <w:rPr>
                <w:rFonts w:eastAsia="Times New Roman"/>
                <w:color w:val="000000" w:themeColor="text1"/>
              </w:rPr>
              <w:t xml:space="preserve">, see ei välju direktiivi raamidest ning tuleb sellisel kujul üle võtta. Küll aga </w:t>
            </w:r>
            <w:r>
              <w:t xml:space="preserve">ei pea registripidaja teostama </w:t>
            </w:r>
            <w:r w:rsidRPr="00474866">
              <w:rPr>
                <w:b/>
                <w:bCs/>
              </w:rPr>
              <w:t>sisulist</w:t>
            </w:r>
            <w:r>
              <w:t xml:space="preserve"> kontrolli selle üle, kas ligipääsu taotlev krediidiandja andmekaitsealaseid nõudeid järgib või mitte. </w:t>
            </w:r>
            <w:r w:rsidR="19786E59">
              <w:t>R</w:t>
            </w:r>
            <w:r>
              <w:t>egistripidajal</w:t>
            </w:r>
            <w:r w:rsidR="73CBCC06">
              <w:t xml:space="preserve"> on</w:t>
            </w:r>
            <w:r>
              <w:t xml:space="preserve"> õigus lõpetada või peatada krediidiandja ligipääs registrile, kui Andmekaitse Inspektsioon keelab ettekirjutisega isikuandmete töötlemise või tuvastab raske rikkumise. Pikem selgitus vastava registrile ligipääsu saamise eelduse kohta on lisatud eelnõu seletuskirja.</w:t>
            </w:r>
          </w:p>
        </w:tc>
      </w:tr>
      <w:tr w:rsidR="00D22FD2" w14:paraId="5727C149" w14:textId="77777777" w:rsidTr="00617FBE">
        <w:tc>
          <w:tcPr>
            <w:tcW w:w="576" w:type="dxa"/>
          </w:tcPr>
          <w:p w14:paraId="3CE4A595" w14:textId="51BA4F8E" w:rsidR="009244D5" w:rsidRDefault="007A08EC" w:rsidP="000179B5">
            <w:pPr>
              <w:jc w:val="center"/>
            </w:pPr>
            <w:r>
              <w:t>22</w:t>
            </w:r>
          </w:p>
        </w:tc>
        <w:tc>
          <w:tcPr>
            <w:tcW w:w="5040" w:type="dxa"/>
          </w:tcPr>
          <w:p w14:paraId="4F32FDA3" w14:textId="77777777" w:rsidR="009244D5" w:rsidRDefault="000C7BD9" w:rsidP="004E257F">
            <w:r w:rsidRPr="000C7BD9">
              <w:t>E</w:t>
            </w:r>
            <w:r>
              <w:t>tt</w:t>
            </w:r>
            <w:r w:rsidRPr="000C7BD9">
              <w:t>epanek viia IKS § 10</w:t>
            </w:r>
            <w:r>
              <w:rPr>
                <w:vertAlign w:val="superscript"/>
              </w:rPr>
              <w:t>1</w:t>
            </w:r>
            <w:r w:rsidRPr="000C7BD9">
              <w:t xml:space="preserve"> lg 2 sõnastus kooskõlla direk</w:t>
            </w:r>
            <w:r>
              <w:t>tii</w:t>
            </w:r>
            <w:r w:rsidRPr="000C7BD9">
              <w:t>vi ar</w:t>
            </w:r>
            <w:r>
              <w:t>ti</w:t>
            </w:r>
            <w:r w:rsidRPr="000C7BD9">
              <w:t>kkel 19 sõnastusega ning eemaldada nõuded andmebaasis andmete koosseisule, mida direk</w:t>
            </w:r>
            <w:r>
              <w:t>ti</w:t>
            </w:r>
            <w:r w:rsidRPr="000C7BD9">
              <w:t>ivi ar</w:t>
            </w:r>
            <w:r>
              <w:t>ti</w:t>
            </w:r>
            <w:r w:rsidRPr="000C7BD9">
              <w:t>kkel 19 lg 4 e</w:t>
            </w:r>
            <w:r>
              <w:t>tt</w:t>
            </w:r>
            <w:r w:rsidRPr="000C7BD9">
              <w:t>e ei näe.</w:t>
            </w:r>
          </w:p>
          <w:p w14:paraId="3F099641" w14:textId="3E20A5BB" w:rsidR="00762EC4" w:rsidRDefault="00573CEF" w:rsidP="00762EC4">
            <w:r>
              <w:t>K</w:t>
            </w:r>
            <w:r w:rsidR="00762EC4">
              <w:t xml:space="preserve">onkreetse normi puhul </w:t>
            </w:r>
            <w:r>
              <w:t xml:space="preserve">on </w:t>
            </w:r>
            <w:r w:rsidR="00762EC4">
              <w:t>oluline, et direk</w:t>
            </w:r>
            <w:r w:rsidR="004D604C">
              <w:t>ti</w:t>
            </w:r>
            <w:r w:rsidR="00762EC4">
              <w:t>ivi ar</w:t>
            </w:r>
            <w:r w:rsidR="004D604C">
              <w:t>ti</w:t>
            </w:r>
            <w:r w:rsidR="00762EC4">
              <w:t xml:space="preserve">kli 19 lõige 4 ei kohusta muutma olemasolevaid andmestruktuure ega kohusta avaldama konkreetse andmekoosseisuna põhisumma ja kõrvalnõuete eristamist. </w:t>
            </w:r>
            <w:r>
              <w:t>Direktiivist</w:t>
            </w:r>
            <w:r w:rsidR="00762EC4">
              <w:t xml:space="preserve"> tuleneb üksnes, et andmebaasis peab olema teave a) tarbijate võlgnevuste kohta krediidi tagasimaksmisel, b) krediidi liik ja c) krediidiandja nimi. Seega ei ole eelnõuga põhjendatud panna kohustust andmebaasi haldajale andmesüsteemi </w:t>
            </w:r>
            <w:r w:rsidR="00762EC4">
              <w:lastRenderedPageBreak/>
              <w:t xml:space="preserve">ümberkujundamiseks ulatuses, mis ületab </w:t>
            </w:r>
            <w:r>
              <w:t>direktiivis</w:t>
            </w:r>
            <w:r w:rsidR="00762EC4">
              <w:t xml:space="preserve"> sätestatud piire.</w:t>
            </w:r>
          </w:p>
          <w:p w14:paraId="2AB10D5D" w14:textId="4F33FA58" w:rsidR="00EC4D30" w:rsidRDefault="00762EC4" w:rsidP="00762EC4">
            <w:r>
              <w:t>Lisaks tõusetub prak</w:t>
            </w:r>
            <w:r w:rsidR="00573CEF">
              <w:t>ti</w:t>
            </w:r>
            <w:r>
              <w:t>kas küsimus, kellele peab vastav andmekoosseis olema nähtav ja kä</w:t>
            </w:r>
            <w:r w:rsidR="00573CEF">
              <w:t>tt</w:t>
            </w:r>
            <w:r>
              <w:t>esaadav – kas tarbijale või krediidiandjale, kes päringu teostab. Juhul kui nähakse e</w:t>
            </w:r>
            <w:r w:rsidR="00573CEF">
              <w:t>tt</w:t>
            </w:r>
            <w:r>
              <w:t>e, et ka krediidiandja saab vastava teabe, sealhulgas krediidi liigi ja krediidiandja nime, võib tekkida olukord, kus krediidiandjale väljastatakse liiga palju andmeid. Krediidiandja peab kontrollima makseajalugu ja maksekäitumist, mi</w:t>
            </w:r>
            <w:r w:rsidR="00573CEF">
              <w:t>tt</w:t>
            </w:r>
            <w:r>
              <w:t>e seda, kelle ees ja millise krediidiliigi alusel ollakse maksehäires. Samu</w:t>
            </w:r>
            <w:r w:rsidR="004C2A25">
              <w:t>ti</w:t>
            </w:r>
            <w:r>
              <w:t xml:space="preserve"> tekib küsimus, kas krediidiandja nime avalikustamine võib minna vastuollu krediidiasutuste seaduses sätestatud pangasaladuse sätetega.</w:t>
            </w:r>
          </w:p>
        </w:tc>
        <w:tc>
          <w:tcPr>
            <w:tcW w:w="5016" w:type="dxa"/>
          </w:tcPr>
          <w:p w14:paraId="6FD0476F" w14:textId="124C3203" w:rsidR="009244D5" w:rsidRPr="00412371" w:rsidRDefault="041FE283" w:rsidP="000179B5">
            <w:pPr>
              <w:ind w:left="-5"/>
              <w:rPr>
                <w:b/>
                <w:bCs/>
              </w:rPr>
            </w:pPr>
            <w:r w:rsidRPr="4DC6FE60">
              <w:rPr>
                <w:b/>
                <w:bCs/>
              </w:rPr>
              <w:lastRenderedPageBreak/>
              <w:t>A</w:t>
            </w:r>
            <w:r w:rsidR="7BA4B1A2" w:rsidRPr="4DC6FE60">
              <w:rPr>
                <w:b/>
                <w:bCs/>
              </w:rPr>
              <w:t>rvestatud / selgitatud.</w:t>
            </w:r>
          </w:p>
          <w:p w14:paraId="479CC23A" w14:textId="7600357B" w:rsidR="009244D5" w:rsidRPr="00412371" w:rsidRDefault="7BA4B1A2" w:rsidP="4DC6FE60">
            <w:pPr>
              <w:ind w:left="-5"/>
            </w:pPr>
            <w:r>
              <w:t>Lõike</w:t>
            </w:r>
            <w:r w:rsidR="35059148">
              <w:t>ga 2 seon</w:t>
            </w:r>
            <w:r w:rsidR="7E99E6DE">
              <w:t>duvat on juba selgitatud eespool.</w:t>
            </w:r>
          </w:p>
          <w:p w14:paraId="121F6DE7" w14:textId="4E77BED7" w:rsidR="009244D5" w:rsidRDefault="386F908E" w:rsidP="00393EFB">
            <w:pPr>
              <w:ind w:left="-5"/>
            </w:pPr>
            <w:r>
              <w:t xml:space="preserve">Lõiget 4 on eelnõu kooskõlastamise käigus saadud tagasisidet arvestades muudetud, sealt on eemaldatud reegel põhi- ja kõrvalnõuete eristamise kohta. </w:t>
            </w:r>
            <w:r w:rsidR="00393EFB">
              <w:t xml:space="preserve">Küll aga andmetöötluse IKS § 10 alusel tuleb järgida AKI maksehäirete avaldamise juhist, sh eristama põhi- ja kõrvalnõudeid. </w:t>
            </w:r>
          </w:p>
          <w:p w14:paraId="723D9B1D" w14:textId="77777777" w:rsidR="00393EFB" w:rsidRPr="00412371" w:rsidRDefault="00393EFB" w:rsidP="00393EFB">
            <w:pPr>
              <w:ind w:left="-5"/>
            </w:pPr>
          </w:p>
          <w:p w14:paraId="17703FA2" w14:textId="60C6D6A6" w:rsidR="009244D5" w:rsidRPr="00412371" w:rsidRDefault="22629C79" w:rsidP="4DC6FE60">
            <w:pPr>
              <w:ind w:left="-5"/>
            </w:pPr>
            <w:r>
              <w:t>Andmekoosseis peab arvestades kõnealuse regulatsiooni eesmärke reguleerida krediidivõimelisuse hindamiseks kasutatavaid registreid, olema kindlasti nähtav krediidi</w:t>
            </w:r>
            <w:r w:rsidR="3A54E4B4">
              <w:t xml:space="preserve">andjale. </w:t>
            </w:r>
          </w:p>
          <w:p w14:paraId="7608DFF1" w14:textId="3BDB48BE" w:rsidR="009244D5" w:rsidRPr="00412371" w:rsidRDefault="009244D5" w:rsidP="4DC6FE60">
            <w:pPr>
              <w:ind w:left="-5"/>
            </w:pPr>
          </w:p>
          <w:p w14:paraId="655A6028" w14:textId="19AE8B03" w:rsidR="009244D5" w:rsidRPr="00412371" w:rsidRDefault="3A54E4B4" w:rsidP="4DC6FE60">
            <w:pPr>
              <w:ind w:left="-5"/>
            </w:pPr>
            <w:r>
              <w:lastRenderedPageBreak/>
              <w:t xml:space="preserve">Küsimus sellest, kui palju andmeid peab registris minimaalselt nähtuma, on otsustatud juba direktiivi kehtestamisel Euroopa Liidu seadusandja poolt ära. Riigisiseselt ei ole võimalik seda muuta. </w:t>
            </w:r>
          </w:p>
        </w:tc>
      </w:tr>
      <w:tr w:rsidR="00D22FD2" w14:paraId="076DA344" w14:textId="77777777" w:rsidTr="00617FBE">
        <w:tc>
          <w:tcPr>
            <w:tcW w:w="576" w:type="dxa"/>
          </w:tcPr>
          <w:p w14:paraId="60991D21" w14:textId="307FC5B6" w:rsidR="00606CA5" w:rsidRDefault="007A08EC" w:rsidP="000179B5">
            <w:pPr>
              <w:jc w:val="center"/>
            </w:pPr>
            <w:r>
              <w:lastRenderedPageBreak/>
              <w:t>23</w:t>
            </w:r>
          </w:p>
        </w:tc>
        <w:tc>
          <w:tcPr>
            <w:tcW w:w="5040" w:type="dxa"/>
          </w:tcPr>
          <w:p w14:paraId="286B4217" w14:textId="77777777" w:rsidR="00606CA5" w:rsidRDefault="00606CA5" w:rsidP="004E257F">
            <w:r w:rsidRPr="00606CA5">
              <w:t>E</w:t>
            </w:r>
            <w:r>
              <w:t>tt</w:t>
            </w:r>
            <w:r w:rsidRPr="00606CA5">
              <w:t>epanek</w:t>
            </w:r>
            <w:r>
              <w:t xml:space="preserve"> </w:t>
            </w:r>
            <w:r w:rsidRPr="00606CA5">
              <w:t>piirduda direk</w:t>
            </w:r>
            <w:r>
              <w:t>ti</w:t>
            </w:r>
            <w:r w:rsidRPr="00606CA5">
              <w:t xml:space="preserve">ivi art 19 sõnastusega ning kohandada regulatsiooni üksnes krediidivõimelisuse hindamiseks kasutatavatele andmebaasidele, </w:t>
            </w:r>
            <w:r>
              <w:t>mitte</w:t>
            </w:r>
            <w:r w:rsidRPr="00606CA5">
              <w:t xml:space="preserve"> eraldiseisvatele analüü</w:t>
            </w:r>
            <w:r>
              <w:t>ti</w:t>
            </w:r>
            <w:r w:rsidRPr="00606CA5">
              <w:t>listele teenusele</w:t>
            </w:r>
            <w:r>
              <w:t xml:space="preserve">. </w:t>
            </w:r>
          </w:p>
          <w:p w14:paraId="5DADFF67" w14:textId="77777777" w:rsidR="001314E1" w:rsidRDefault="001314E1" w:rsidP="001314E1">
            <w:r>
              <w:t>Esiteks ei sisalda direktiiv terminit ega mõistet „register“, vaid kasutab terminit „andmebaas“. Seetõttu tuleb eelnõu tekst? korrigeerida ja kasutada läbivalt direktiiviga ühtseid termineid. Direktiivi artikkel 19 reguleerib krediidivõimelisuse hindamiseks kasutatavaid andmebaase („</w:t>
            </w:r>
            <w:proofErr w:type="spellStart"/>
            <w:r w:rsidRPr="007B0687">
              <w:rPr>
                <w:i/>
                <w:iCs/>
              </w:rPr>
              <w:t>databases</w:t>
            </w:r>
            <w:proofErr w:type="spellEnd"/>
            <w:r w:rsidRPr="007B0687">
              <w:rPr>
                <w:i/>
                <w:iCs/>
              </w:rPr>
              <w:t xml:space="preserve"> </w:t>
            </w:r>
            <w:proofErr w:type="spellStart"/>
            <w:r w:rsidRPr="007B0687">
              <w:rPr>
                <w:i/>
                <w:iCs/>
              </w:rPr>
              <w:t>used</w:t>
            </w:r>
            <w:proofErr w:type="spellEnd"/>
            <w:r w:rsidRPr="007B0687">
              <w:rPr>
                <w:i/>
                <w:iCs/>
              </w:rPr>
              <w:t xml:space="preserve"> </w:t>
            </w:r>
            <w:proofErr w:type="spellStart"/>
            <w:r w:rsidRPr="007B0687">
              <w:rPr>
                <w:i/>
                <w:iCs/>
              </w:rPr>
              <w:t>for</w:t>
            </w:r>
            <w:proofErr w:type="spellEnd"/>
            <w:r w:rsidRPr="007B0687">
              <w:rPr>
                <w:i/>
                <w:iCs/>
              </w:rPr>
              <w:t xml:space="preserve"> </w:t>
            </w:r>
            <w:proofErr w:type="spellStart"/>
            <w:r w:rsidRPr="007B0687">
              <w:rPr>
                <w:i/>
                <w:iCs/>
              </w:rPr>
              <w:t>assessing</w:t>
            </w:r>
            <w:proofErr w:type="spellEnd"/>
            <w:r w:rsidRPr="007B0687">
              <w:rPr>
                <w:i/>
                <w:iCs/>
              </w:rPr>
              <w:t xml:space="preserve"> </w:t>
            </w:r>
            <w:proofErr w:type="spellStart"/>
            <w:r w:rsidRPr="007B0687">
              <w:rPr>
                <w:i/>
                <w:iCs/>
              </w:rPr>
              <w:t>consumers</w:t>
            </w:r>
            <w:proofErr w:type="spellEnd"/>
            <w:r w:rsidRPr="007B0687">
              <w:rPr>
                <w:i/>
                <w:iCs/>
              </w:rPr>
              <w:t xml:space="preserve">’ </w:t>
            </w:r>
            <w:proofErr w:type="spellStart"/>
            <w:r w:rsidRPr="007B0687">
              <w:rPr>
                <w:i/>
                <w:iCs/>
              </w:rPr>
              <w:t>creditworthiness</w:t>
            </w:r>
            <w:proofErr w:type="spellEnd"/>
            <w:r>
              <w:t xml:space="preserve">“). Direktiivi sõnastus ei nimeta krediidiskoore ega muid analüütilisi teenuseid ning ei näe ette, et kogu krediidivõimelisuse hindamisega seotud </w:t>
            </w:r>
            <w:proofErr w:type="spellStart"/>
            <w:r>
              <w:t>analüütika</w:t>
            </w:r>
            <w:proofErr w:type="spellEnd"/>
            <w:r>
              <w:t xml:space="preserve"> tuleb automaatselt allutada andmebaasidega samale regulatsioonile.</w:t>
            </w:r>
          </w:p>
          <w:p w14:paraId="772C0069" w14:textId="77777777" w:rsidR="001314E1" w:rsidRDefault="001314E1" w:rsidP="001314E1">
            <w:r>
              <w:t xml:space="preserve">IKS § 10¹ laiendab kohaldamisala lisaks registrile ka „muud sarnast tarbija krediidivõimelisuse hindamiseks kasutatavat teavet, sealhulgas krediidiskoore“. Selline laiendus ei tulene otseselt direktiivi tekstist ega selle eesmärgist, milleks on tagada krediidiandjate mittediskrimineeriv juurdepääs krediidiandmebaasidele ja vältida </w:t>
            </w:r>
          </w:p>
          <w:p w14:paraId="6E18BA52" w14:textId="77777777" w:rsidR="001314E1" w:rsidRDefault="001314E1" w:rsidP="001314E1">
            <w:r>
              <w:t>konkurentsimoonutusi.</w:t>
            </w:r>
          </w:p>
          <w:p w14:paraId="45B0D77F" w14:textId="77777777" w:rsidR="001314E1" w:rsidRDefault="001314E1" w:rsidP="001314E1">
            <w:r>
              <w:t>Krediidiskoor ei ole andmebaas, vaid statistiline hinnang, mis võib tugineda mitmele andmeallikale ning mis ei pruugi olla registri ega andmebaasi osa. Skoor kui eraldiseisev teenus ei kujuta endast krediidivõimelisuse andmebaasi direktiivi artikli 19 tähenduses.</w:t>
            </w:r>
          </w:p>
          <w:p w14:paraId="601FDBBC" w14:textId="5588CCB8" w:rsidR="001314E1" w:rsidRDefault="001314E1" w:rsidP="001314E1">
            <w:r>
              <w:t xml:space="preserve">Meile teadaolevalt ei ole Euroopa Liidu liikmesriikides käesoleva direktiivi ülevõtmisel </w:t>
            </w:r>
            <w:r>
              <w:lastRenderedPageBreak/>
              <w:t>üldiseks suunaks kujunenud krediidiskooride automaatne allutamine andmebaaside regulatsioonile. Kui Ees</w:t>
            </w:r>
            <w:r w:rsidR="618EA4AD">
              <w:t>ti</w:t>
            </w:r>
            <w:r>
              <w:t xml:space="preserve"> otsustab kehtestada rangema ja laiapõhjalisema regulatsiooni </w:t>
            </w:r>
          </w:p>
          <w:p w14:paraId="413D9549" w14:textId="77777777" w:rsidR="001314E1" w:rsidRDefault="001314E1" w:rsidP="001314E1">
            <w:r>
              <w:t>ilma selge mõjuanalüüsi ja põhjenduseta, võib see asetada Eesti ettevõtjad ebasoodsamasse konkurentsiolukorda võrreldes teiste liikmesriikidega.</w:t>
            </w:r>
          </w:p>
          <w:p w14:paraId="7294F120" w14:textId="77777777" w:rsidR="001314E1" w:rsidRDefault="001314E1" w:rsidP="001314E1">
            <w:r>
              <w:t>Samuti tekib küsimus, millist eesmärki krediidiskoori eraldi eelnõusse sissetoomine täidab. Krediidiskoori pärimine krediidiandja poolt ei ole kohustuslik, st krediidiandja ei ole kohustatud tarbija krediidivõimelisuse hindamisel kasutama ühe teabeühikuna registrite poolt väljaarvutatavat krediidiskoori. Käesolev teabe koosseisu laiendamine krediidiskooriga võib praktikas viia selleni, et tõlgendatakse krediidiskoori pärimist ja kasutamist krediidiandjale kohustuslikuna samamoodi nagu seda on maksehäired. Direktiiv ei pane krediidiandjale sellist kohustust.</w:t>
            </w:r>
          </w:p>
          <w:p w14:paraId="6CFF538D" w14:textId="37869E5E" w:rsidR="008D0044" w:rsidRPr="000C7BD9" w:rsidRDefault="008D0044" w:rsidP="008D0044"/>
        </w:tc>
        <w:tc>
          <w:tcPr>
            <w:tcW w:w="5016" w:type="dxa"/>
          </w:tcPr>
          <w:p w14:paraId="28C1417E" w14:textId="2F7F6656" w:rsidR="00606CA5" w:rsidRPr="00412371" w:rsidRDefault="55DE676D" w:rsidP="000179B5">
            <w:pPr>
              <w:ind w:left="-5"/>
            </w:pPr>
            <w:r w:rsidRPr="2D34D7CD">
              <w:rPr>
                <w:b/>
                <w:bCs/>
              </w:rPr>
              <w:lastRenderedPageBreak/>
              <w:t>Mittearvestatud</w:t>
            </w:r>
            <w:r w:rsidR="694F7F34" w:rsidRPr="2D34D7CD">
              <w:rPr>
                <w:b/>
                <w:bCs/>
              </w:rPr>
              <w:t xml:space="preserve"> / selgitatud </w:t>
            </w:r>
          </w:p>
          <w:p w14:paraId="6C0A363F" w14:textId="5706A118" w:rsidR="2AE54A09" w:rsidRDefault="1E49E1E8" w:rsidP="4DC6FE60">
            <w:pPr>
              <w:ind w:left="-5"/>
            </w:pPr>
            <w:r>
              <w:t>Justiits- ja Digiministeeriumi hinnangul saab andmebaase, milles sisalduvad mh ka krediidiskoorid, kasutada tarbija krediidivõimelisuse hindamiseks. See</w:t>
            </w:r>
            <w:r w:rsidR="4A12ABA6">
              <w:t>t</w:t>
            </w:r>
            <w:r>
              <w:t xml:space="preserve">õttu peavad need </w:t>
            </w:r>
            <w:r w:rsidR="02B834E5">
              <w:t>ka eelnõukohase IKS § 10</w:t>
            </w:r>
            <w:r w:rsidR="02B834E5" w:rsidRPr="4DC6FE60">
              <w:rPr>
                <w:vertAlign w:val="superscript"/>
              </w:rPr>
              <w:t>1</w:t>
            </w:r>
            <w:r w:rsidR="02B834E5">
              <w:t xml:space="preserve"> kohaldamisalas olema. </w:t>
            </w:r>
            <w:r w:rsidR="2AE54A09">
              <w:t xml:space="preserve">Millegi nimetamine “analüütiliseks teenuseks” ei muuda selle sisu. </w:t>
            </w:r>
            <w:r w:rsidR="163844C6">
              <w:t xml:space="preserve">Krediidiskoori määramise </w:t>
            </w:r>
            <w:r w:rsidR="1AA5A8BC">
              <w:t>t</w:t>
            </w:r>
            <w:r w:rsidR="2AE54A09">
              <w:t xml:space="preserve">eenuse raames kasutatakse </w:t>
            </w:r>
            <w:r w:rsidR="7FB7112C">
              <w:t>tarbija isiku</w:t>
            </w:r>
            <w:r w:rsidR="2AE54A09">
              <w:t xml:space="preserve">andmeid. </w:t>
            </w:r>
            <w:r w:rsidR="79A58717">
              <w:t xml:space="preserve">Nende andmete pinnalt väljastatakse konkreetse tarbija tulevase maksekäitumise tõenäosuslikuks hindamiseks skoor. </w:t>
            </w:r>
            <w:r w:rsidR="348B08D7">
              <w:t>Nendest andmetest erinevate tarbijate kohta, sh krediidiskooridest moodustub kokku andmebaas ehk register.</w:t>
            </w:r>
            <w:r w:rsidR="79A58717">
              <w:t xml:space="preserve"> </w:t>
            </w:r>
            <w:r w:rsidR="5A3FEF8C">
              <w:t xml:space="preserve">See on osa </w:t>
            </w:r>
            <w:r w:rsidR="518C8532">
              <w:t xml:space="preserve">tarbija krediidivõimelisuse hindamiseks </w:t>
            </w:r>
            <w:r w:rsidR="5827A8AA">
              <w:t xml:space="preserve">kasutatavatest </w:t>
            </w:r>
            <w:r w:rsidR="518C8532">
              <w:t>andmebaasist</w:t>
            </w:r>
            <w:r w:rsidR="5A3FEF8C">
              <w:t xml:space="preserve">, millele peab direktiiv kohalduma. </w:t>
            </w:r>
          </w:p>
          <w:p w14:paraId="106677B2" w14:textId="688517C3" w:rsidR="2205B8B1" w:rsidRDefault="2205B8B1" w:rsidP="2205B8B1">
            <w:pPr>
              <w:ind w:left="-5"/>
            </w:pPr>
          </w:p>
          <w:p w14:paraId="16180B93" w14:textId="4BB9C67C" w:rsidR="00606CA5" w:rsidRPr="00412371" w:rsidRDefault="7CA67119" w:rsidP="000179B5">
            <w:pPr>
              <w:ind w:left="-5"/>
            </w:pPr>
            <w:r>
              <w:t>Teisisõnu. K</w:t>
            </w:r>
            <w:r w:rsidR="05CE2E8D">
              <w:t xml:space="preserve">rediidiskoore sisaldavad registrid </w:t>
            </w:r>
            <w:r w:rsidR="7C2B0495">
              <w:t>on</w:t>
            </w:r>
            <w:r w:rsidR="05CE2E8D">
              <w:t xml:space="preserve"> vaieldamatult direktiivi artikli 19 kohaldamisalas. Need on otseselt seotud tarbija krediidivõimelisuse hindamisega. </w:t>
            </w:r>
            <w:r w:rsidR="3CD96922">
              <w:t>Seda kinnitab võrdlus Saksamaaga, kus eelmise tarbijakrediidi direktiivi 2008/48</w:t>
            </w:r>
            <w:r w:rsidR="578D0DAA">
              <w:t xml:space="preserve"> andmebaasidele juurdepääsu käsitlev art</w:t>
            </w:r>
            <w:r w:rsidR="70314E4B">
              <w:t xml:space="preserve"> </w:t>
            </w:r>
            <w:r w:rsidR="578D0DAA">
              <w:t>9 on üle võetud BDSG §-i 30.</w:t>
            </w:r>
            <w:r w:rsidR="61E7C228">
              <w:t xml:space="preserve"> B</w:t>
            </w:r>
            <w:r w:rsidR="67282D7F">
              <w:t>DS</w:t>
            </w:r>
            <w:r w:rsidR="61E7C228">
              <w:t xml:space="preserve">G kommentaarides on sõnaselgelt välja toodud, et see kohaldub Saksamaal </w:t>
            </w:r>
            <w:proofErr w:type="spellStart"/>
            <w:r w:rsidR="61E7C228">
              <w:t>Schufale</w:t>
            </w:r>
            <w:proofErr w:type="spellEnd"/>
            <w:r w:rsidR="61E7C228">
              <w:t>, kelle üks peamine teenus on just tarbijate kohta krediidiskooride väljastamine</w:t>
            </w:r>
            <w:r w:rsidR="29BE8B4B">
              <w:t xml:space="preserve">  (</w:t>
            </w:r>
            <w:r w:rsidR="29BE8B4B" w:rsidRPr="4DC6FE60">
              <w:rPr>
                <w:rFonts w:eastAsia="Times New Roman"/>
              </w:rPr>
              <w:t xml:space="preserve">vt nt </w:t>
            </w:r>
            <w:proofErr w:type="spellStart"/>
            <w:r w:rsidR="29BE8B4B" w:rsidRPr="4DC6FE60">
              <w:rPr>
                <w:rFonts w:eastAsia="Times New Roman"/>
              </w:rPr>
              <w:t>BeckOK</w:t>
            </w:r>
            <w:proofErr w:type="spellEnd"/>
            <w:r w:rsidR="29BE8B4B" w:rsidRPr="4DC6FE60">
              <w:rPr>
                <w:rFonts w:eastAsia="Times New Roman"/>
              </w:rPr>
              <w:t xml:space="preserve"> </w:t>
            </w:r>
            <w:proofErr w:type="spellStart"/>
            <w:r w:rsidR="29BE8B4B" w:rsidRPr="4DC6FE60">
              <w:rPr>
                <w:rFonts w:eastAsia="Times New Roman"/>
              </w:rPr>
              <w:t>DatenschutzR</w:t>
            </w:r>
            <w:proofErr w:type="spellEnd"/>
            <w:r w:rsidR="29BE8B4B" w:rsidRPr="4DC6FE60">
              <w:rPr>
                <w:rFonts w:eastAsia="Times New Roman"/>
              </w:rPr>
              <w:t>/Pohl-</w:t>
            </w:r>
            <w:proofErr w:type="spellStart"/>
            <w:r w:rsidR="29BE8B4B" w:rsidRPr="4DC6FE60">
              <w:rPr>
                <w:rFonts w:eastAsia="Times New Roman"/>
              </w:rPr>
              <w:t>Schönmehl</w:t>
            </w:r>
            <w:proofErr w:type="spellEnd"/>
            <w:r w:rsidR="29BE8B4B" w:rsidRPr="4DC6FE60">
              <w:rPr>
                <w:rFonts w:eastAsia="Times New Roman"/>
              </w:rPr>
              <w:t xml:space="preserve"> BDSG § 30 </w:t>
            </w:r>
            <w:proofErr w:type="spellStart"/>
            <w:r w:rsidR="29BE8B4B" w:rsidRPr="4DC6FE60">
              <w:rPr>
                <w:rFonts w:eastAsia="Times New Roman"/>
              </w:rPr>
              <w:t>Rn</w:t>
            </w:r>
            <w:proofErr w:type="spellEnd"/>
            <w:r w:rsidR="29BE8B4B" w:rsidRPr="4DC6FE60">
              <w:rPr>
                <w:rFonts w:eastAsia="Times New Roman"/>
              </w:rPr>
              <w:t>. 12; Paal/</w:t>
            </w:r>
            <w:proofErr w:type="spellStart"/>
            <w:r w:rsidR="29BE8B4B" w:rsidRPr="4DC6FE60">
              <w:rPr>
                <w:rFonts w:eastAsia="Times New Roman"/>
              </w:rPr>
              <w:t>Pauly</w:t>
            </w:r>
            <w:proofErr w:type="spellEnd"/>
            <w:r w:rsidR="29BE8B4B" w:rsidRPr="4DC6FE60">
              <w:rPr>
                <w:rFonts w:eastAsia="Times New Roman"/>
              </w:rPr>
              <w:t>/</w:t>
            </w:r>
            <w:proofErr w:type="spellStart"/>
            <w:r w:rsidR="29BE8B4B" w:rsidRPr="4DC6FE60">
              <w:rPr>
                <w:rFonts w:eastAsia="Times New Roman"/>
              </w:rPr>
              <w:t>Pauly</w:t>
            </w:r>
            <w:proofErr w:type="spellEnd"/>
            <w:r w:rsidR="29BE8B4B" w:rsidRPr="4DC6FE60">
              <w:rPr>
                <w:rFonts w:eastAsia="Times New Roman"/>
              </w:rPr>
              <w:t xml:space="preserve">, 4. </w:t>
            </w:r>
            <w:proofErr w:type="spellStart"/>
            <w:r w:rsidR="29BE8B4B" w:rsidRPr="4DC6FE60">
              <w:rPr>
                <w:rFonts w:eastAsia="Times New Roman"/>
              </w:rPr>
              <w:t>Aufl</w:t>
            </w:r>
            <w:proofErr w:type="spellEnd"/>
            <w:r w:rsidR="29BE8B4B" w:rsidRPr="4DC6FE60">
              <w:rPr>
                <w:rFonts w:eastAsia="Times New Roman"/>
              </w:rPr>
              <w:t xml:space="preserve">. 2026, BDSG § 30 </w:t>
            </w:r>
            <w:proofErr w:type="spellStart"/>
            <w:r w:rsidR="29BE8B4B" w:rsidRPr="4DC6FE60">
              <w:rPr>
                <w:rFonts w:eastAsia="Times New Roman"/>
              </w:rPr>
              <w:t>Rn</w:t>
            </w:r>
            <w:proofErr w:type="spellEnd"/>
            <w:r w:rsidR="29BE8B4B" w:rsidRPr="4DC6FE60">
              <w:rPr>
                <w:rFonts w:eastAsia="Times New Roman"/>
              </w:rPr>
              <w:t>. 3)</w:t>
            </w:r>
            <w:r w:rsidR="61E7C228" w:rsidRPr="4DC6FE60">
              <w:rPr>
                <w:rFonts w:eastAsia="Times New Roman"/>
              </w:rPr>
              <w:t>.</w:t>
            </w:r>
            <w:r w:rsidR="61E7C228">
              <w:t xml:space="preserve"> </w:t>
            </w:r>
          </w:p>
          <w:p w14:paraId="3E66EC42" w14:textId="055B7E42" w:rsidR="00606CA5" w:rsidRPr="00412371" w:rsidRDefault="00606CA5" w:rsidP="000179B5">
            <w:pPr>
              <w:ind w:left="-5"/>
            </w:pPr>
          </w:p>
          <w:p w14:paraId="1A353CE3" w14:textId="7FF67E3B" w:rsidR="00606CA5" w:rsidRPr="00412371" w:rsidRDefault="520C8655" w:rsidP="4DC6FE60">
            <w:pPr>
              <w:ind w:left="-5"/>
            </w:pPr>
            <w:r>
              <w:lastRenderedPageBreak/>
              <w:t xml:space="preserve">Eraldi väärib märkimist ka see, et </w:t>
            </w:r>
            <w:r w:rsidR="609AE2B3">
              <w:t>eelnõuga ei soovita kuidagi muuta eraldiseisvalt kohustuslikuks er</w:t>
            </w:r>
            <w:r w:rsidR="3BDBB56E">
              <w:t xml:space="preserve">inevate </w:t>
            </w:r>
            <w:r w:rsidR="61AB8CF4">
              <w:t>kõnealuses sättes nimetatud</w:t>
            </w:r>
            <w:r w:rsidR="3BDBB56E">
              <w:t xml:space="preserve"> </w:t>
            </w:r>
            <w:r w:rsidR="1D4A57C9">
              <w:t>andmeliikide kasutamist. See, missuguseid andmeid peab krediidiandja tarbija krediidivõimelisuse hindamiseks koguma, on nähtud ette VÕS</w:t>
            </w:r>
            <w:r w:rsidR="208340B8">
              <w:t xml:space="preserve"> §-</w:t>
            </w:r>
            <w:proofErr w:type="spellStart"/>
            <w:r w:rsidR="1D4A57C9">
              <w:t>is</w:t>
            </w:r>
            <w:proofErr w:type="spellEnd"/>
            <w:r w:rsidR="13B97860">
              <w:t xml:space="preserve"> 403</w:t>
            </w:r>
            <w:r w:rsidR="13B97860" w:rsidRPr="4DC6FE60">
              <w:rPr>
                <w:vertAlign w:val="superscript"/>
              </w:rPr>
              <w:t>4</w:t>
            </w:r>
            <w:r w:rsidR="13B97860" w:rsidRPr="55CB3681">
              <w:rPr>
                <w:vertAlign w:val="superscript"/>
              </w:rPr>
              <w:t xml:space="preserve"> </w:t>
            </w:r>
            <w:r w:rsidR="13B97860">
              <w:t>lõikes 2</w:t>
            </w:r>
            <w:r w:rsidR="1D4A57C9">
              <w:t xml:space="preserve">. Samuti on </w:t>
            </w:r>
            <w:proofErr w:type="spellStart"/>
            <w:r w:rsidR="1D4A57C9">
              <w:t>VÕS-is</w:t>
            </w:r>
            <w:proofErr w:type="spellEnd"/>
            <w:r w:rsidR="1D4A57C9">
              <w:t xml:space="preserve"> nähtud ette see, et krediidiandja kogub need andmed </w:t>
            </w:r>
            <w:r w:rsidR="2A828358">
              <w:t xml:space="preserve">tarbijalt ning </w:t>
            </w:r>
            <w:r w:rsidR="1D4A57C9">
              <w:t xml:space="preserve">asjakohastest </w:t>
            </w:r>
            <w:proofErr w:type="spellStart"/>
            <w:r w:rsidR="1D4A57C9">
              <w:t>sise</w:t>
            </w:r>
            <w:proofErr w:type="spellEnd"/>
            <w:r w:rsidR="1D4A57C9">
              <w:t xml:space="preserve">- ja </w:t>
            </w:r>
            <w:proofErr w:type="spellStart"/>
            <w:r w:rsidR="1D4A57C9">
              <w:t>välisallikatest</w:t>
            </w:r>
            <w:proofErr w:type="spellEnd"/>
            <w:r w:rsidR="1D4A57C9">
              <w:t>, sh erinevatest regist</w:t>
            </w:r>
            <w:r w:rsidR="4D64510C">
              <w:t>ritest.</w:t>
            </w:r>
            <w:r w:rsidR="35E3426D">
              <w:t xml:space="preserve"> </w:t>
            </w:r>
            <w:r w:rsidR="1C2B965D">
              <w:t>Eelnõukohases IKS §-s 10</w:t>
            </w:r>
            <w:r w:rsidR="1C2B965D" w:rsidRPr="4DC6FE60">
              <w:rPr>
                <w:vertAlign w:val="superscript"/>
              </w:rPr>
              <w:t>1</w:t>
            </w:r>
            <w:r w:rsidR="1C2B965D">
              <w:t xml:space="preserve"> nähakse ette nõuded nimetatud registritele</w:t>
            </w:r>
            <w:r w:rsidR="4ABB71FE">
              <w:t xml:space="preserve">. </w:t>
            </w:r>
            <w:r w:rsidR="68D04BF3">
              <w:t xml:space="preserve">Siit ei ole tuletatav </w:t>
            </w:r>
            <w:r w:rsidR="0CD9A77D">
              <w:t xml:space="preserve">krediidiandjale </w:t>
            </w:r>
            <w:r w:rsidR="68D04BF3">
              <w:t xml:space="preserve">kohustus </w:t>
            </w:r>
            <w:r w:rsidR="77777895">
              <w:t xml:space="preserve">mingeid kindlaid </w:t>
            </w:r>
            <w:r w:rsidR="7C96F9C1">
              <w:t xml:space="preserve">andmeliike </w:t>
            </w:r>
            <w:r w:rsidR="3E0EF359">
              <w:t xml:space="preserve">registrist </w:t>
            </w:r>
            <w:r w:rsidR="7C96F9C1">
              <w:t xml:space="preserve">pärida - seda ei negatiivse maksehäireinfo kohta ega ka krediidiskooride kohta. See </w:t>
            </w:r>
            <w:r w:rsidR="336C6EC4">
              <w:t xml:space="preserve">küsimus </w:t>
            </w:r>
            <w:r w:rsidR="7C96F9C1">
              <w:t>ei ole</w:t>
            </w:r>
            <w:r w:rsidR="5A2727D3">
              <w:t xml:space="preserve"> </w:t>
            </w:r>
            <w:proofErr w:type="spellStart"/>
            <w:r w:rsidR="7C96F9C1">
              <w:t>IKS-i</w:t>
            </w:r>
            <w:proofErr w:type="spellEnd"/>
            <w:r w:rsidR="7C96F9C1">
              <w:t xml:space="preserve"> </w:t>
            </w:r>
            <w:r w:rsidR="01B78535">
              <w:t>kohaldamisalas</w:t>
            </w:r>
            <w:r w:rsidR="06E93C8B">
              <w:t xml:space="preserve">. </w:t>
            </w:r>
          </w:p>
        </w:tc>
      </w:tr>
      <w:tr w:rsidR="00D22FD2" w14:paraId="6DF699CE" w14:textId="77777777" w:rsidTr="00617FBE">
        <w:tc>
          <w:tcPr>
            <w:tcW w:w="576" w:type="dxa"/>
          </w:tcPr>
          <w:p w14:paraId="375BC677" w14:textId="4D83E251" w:rsidR="00D312C4" w:rsidRDefault="007A08EC" w:rsidP="000179B5">
            <w:pPr>
              <w:jc w:val="center"/>
            </w:pPr>
            <w:r>
              <w:lastRenderedPageBreak/>
              <w:t>24</w:t>
            </w:r>
          </w:p>
        </w:tc>
        <w:tc>
          <w:tcPr>
            <w:tcW w:w="5040" w:type="dxa"/>
          </w:tcPr>
          <w:p w14:paraId="32A87DF4" w14:textId="77777777" w:rsidR="00D312C4" w:rsidRDefault="00D312C4" w:rsidP="004E257F">
            <w:r>
              <w:t>Ettepanek viia IKS § 10</w:t>
            </w:r>
            <w:r w:rsidRPr="4DC6FE60">
              <w:rPr>
                <w:vertAlign w:val="superscript"/>
              </w:rPr>
              <w:t>1</w:t>
            </w:r>
            <w:r>
              <w:t xml:space="preserve"> lg 5 seletuskiri kooskõlla direktiivi mõttega ning avada, kas lubatud on kõnealune teavitus saata koos IKÜM-</w:t>
            </w:r>
            <w:proofErr w:type="spellStart"/>
            <w:r>
              <w:t>is</w:t>
            </w:r>
            <w:proofErr w:type="spellEnd"/>
            <w:r>
              <w:t xml:space="preserve"> nõutud isikuandmete töötlemise teavitusega</w:t>
            </w:r>
            <w:r w:rsidR="00B457E3">
              <w:t xml:space="preserve">. </w:t>
            </w:r>
          </w:p>
          <w:p w14:paraId="6BCF267C" w14:textId="00116449" w:rsidR="00FA7B00" w:rsidRDefault="00FA7B00" w:rsidP="00FA7B00">
            <w:r>
              <w:t>IKS § 10</w:t>
            </w:r>
            <w:r w:rsidR="00FD53EA" w:rsidRPr="4DC6FE60">
              <w:rPr>
                <w:vertAlign w:val="superscript"/>
              </w:rPr>
              <w:t>1</w:t>
            </w:r>
            <w:r>
              <w:t xml:space="preserve"> lg 5 tuleneb 30-päevane teavitamiskohustus absoluutse nõudena. Eelnõu </w:t>
            </w:r>
          </w:p>
          <w:p w14:paraId="384DFEAC" w14:textId="40F7A9FC" w:rsidR="00FA7B00" w:rsidRDefault="00FA7B00" w:rsidP="00FA7B00">
            <w:r>
              <w:t>seletuskiri ütleb, et see teavitamiskohustus on</w:t>
            </w:r>
            <w:r w:rsidR="00FD53EA">
              <w:t xml:space="preserve"> </w:t>
            </w:r>
            <w:r>
              <w:t xml:space="preserve">täiendav </w:t>
            </w:r>
            <w:proofErr w:type="spellStart"/>
            <w:r>
              <w:t>IKÜM</w:t>
            </w:r>
            <w:r w:rsidR="00EA0E7A">
              <w:t>’</w:t>
            </w:r>
            <w:r>
              <w:t>is</w:t>
            </w:r>
            <w:proofErr w:type="spellEnd"/>
            <w:r>
              <w:t xml:space="preserve"> e</w:t>
            </w:r>
            <w:r w:rsidR="00FD53EA">
              <w:t>tt</w:t>
            </w:r>
            <w:r>
              <w:t xml:space="preserve">enähtud teavitamiskohustusele. Eelnõust jääb aga selgusetuks, kas seadusandja peab silmas, et andmebaasipidaja peaks edastama kaks (2) eraldi teavitust tarbijale, mis ei ole põhjendatud. Juhime tähelepanu, et </w:t>
            </w:r>
            <w:r w:rsidR="00EA0E7A">
              <w:t>direktiiv</w:t>
            </w:r>
            <w:r>
              <w:t xml:space="preserve"> ei sisalda keeldu kohaldada IKÜM-i teavitamiserandeid. Seetõ</w:t>
            </w:r>
            <w:r w:rsidR="00311EB1">
              <w:t>tt</w:t>
            </w:r>
            <w:r>
              <w:t xml:space="preserve">u kitsendab eelnõu põhjendamatult IKÜM-ist tulenevat normihierarhiat ning võib viia olukorrani, kus registripidaja peab teavitama ka juhtudel, kus see on </w:t>
            </w:r>
            <w:r w:rsidR="002C668C">
              <w:t>objektiivselt</w:t>
            </w:r>
            <w:r>
              <w:t xml:space="preserve"> võimatu või ebaproportsionaalne. </w:t>
            </w:r>
          </w:p>
          <w:p w14:paraId="7705DE56" w14:textId="3DEC6CE8" w:rsidR="00FA7B00" w:rsidRDefault="00FA7B00" w:rsidP="4DC6FE60">
            <w:r>
              <w:t>Lisaks ei ole ka selge, kas lubatud on kokkulepped, et võlgnikku teavitab isik, kes andmeid registrile edastab/sisestab. Rõhutame, eelnõu ei sätesta ega seletuskiri ei selgita, kelle kohustus on tagada teavitamiskohustuse täitmiseks vajalike kontaktandmete olemasolu –</w:t>
            </w:r>
            <w:r w:rsidR="001E1667">
              <w:t xml:space="preserve"> </w:t>
            </w:r>
            <w:r>
              <w:t xml:space="preserve">kas vastavad kontaktandmed peab registripidajale edastama/andma registrisse andmete </w:t>
            </w:r>
            <w:proofErr w:type="spellStart"/>
            <w:r>
              <w:t>sisestaja</w:t>
            </w:r>
            <w:proofErr w:type="spellEnd"/>
            <w:r>
              <w:t xml:space="preserve"> või lasub registripidajal iseseisev kohustus need andmed pärida Rahvas</w:t>
            </w:r>
            <w:r w:rsidR="001E1667">
              <w:t>ti</w:t>
            </w:r>
            <w:r>
              <w:t xml:space="preserve">kuregistrist </w:t>
            </w:r>
            <w:r>
              <w:lastRenderedPageBreak/>
              <w:t>teavitamiskohustuse täitmiseks. Regulatsiooni ebaselgus selles küsimuses tekitab olulise õigusselgusetuse ning mõjutab otseselt kohustuse täitmise prak</w:t>
            </w:r>
            <w:r w:rsidR="001E1667">
              <w:t>ti</w:t>
            </w:r>
            <w:r>
              <w:t xml:space="preserve">list teostatavust. </w:t>
            </w:r>
          </w:p>
          <w:p w14:paraId="119474FC" w14:textId="260E7CE7" w:rsidR="00FA7B00" w:rsidRDefault="00FA7B00" w:rsidP="4DC6FE60">
            <w:r>
              <w:t>Lisaks võib IKS § 10</w:t>
            </w:r>
            <w:r w:rsidR="001E1667" w:rsidRPr="79DCC38C">
              <w:rPr>
                <w:vertAlign w:val="superscript"/>
              </w:rPr>
              <w:t>1</w:t>
            </w:r>
            <w:r>
              <w:t xml:space="preserve"> lg 5 sõnastus kaasa tuua olukorra, kus registripidaja vastutab teavituse </w:t>
            </w:r>
            <w:r w:rsidR="005667B4">
              <w:t>kätte saamata</w:t>
            </w:r>
            <w:r>
              <w:t xml:space="preserve"> jäämise eest ka siis, kui kontaktandmed pärinevad krediidiandjalt ning registripidajal puudub võimalus nende õigsust kontrollida. </w:t>
            </w:r>
            <w:r w:rsidR="00513B7F">
              <w:t>Direktiiv</w:t>
            </w:r>
            <w:r>
              <w:t xml:space="preserve"> näeb e</w:t>
            </w:r>
            <w:r w:rsidR="00513B7F">
              <w:t>tt</w:t>
            </w:r>
            <w:r>
              <w:t>e tarbija teavitamise kohustuse, kuid ei sätesta teavituse kä</w:t>
            </w:r>
            <w:r w:rsidR="00513B7F">
              <w:t>tt</w:t>
            </w:r>
            <w:r>
              <w:t xml:space="preserve">etoimetamise standardit ega kehtesta </w:t>
            </w:r>
            <w:r w:rsidR="00513B7F">
              <w:t>objektiivset</w:t>
            </w:r>
            <w:r>
              <w:t xml:space="preserve"> vastutust teavituse kä</w:t>
            </w:r>
            <w:r w:rsidR="005667B4">
              <w:t>tt</w:t>
            </w:r>
            <w:r>
              <w:t>esaamise eest. Samu</w:t>
            </w:r>
            <w:r w:rsidR="00C86F60">
              <w:t>ti</w:t>
            </w:r>
            <w:r>
              <w:t xml:space="preserve"> ei tulene </w:t>
            </w:r>
            <w:r w:rsidR="00C86F60">
              <w:t>direktiivist</w:t>
            </w:r>
            <w:r>
              <w:t xml:space="preserve"> nõuet, et teavituse peab </w:t>
            </w:r>
            <w:r w:rsidR="00C86F60">
              <w:t>ti</w:t>
            </w:r>
            <w:r>
              <w:t xml:space="preserve">ngimata edastama registripidaja, vaid et tarbija teavitamine peab olema </w:t>
            </w:r>
          </w:p>
          <w:p w14:paraId="0758A16F" w14:textId="77777777" w:rsidR="00FA7B00" w:rsidRDefault="00FA7B00" w:rsidP="4DC6FE60">
            <w:r>
              <w:t>tagatud.</w:t>
            </w:r>
          </w:p>
          <w:p w14:paraId="6C90C108" w14:textId="630106DC" w:rsidR="00FA7B00" w:rsidRDefault="00FA7B00" w:rsidP="4DC6FE60">
            <w:r>
              <w:t>Ebaselgeks jääb ka see, millisest hetkest hakkab kulgema IKS § 10</w:t>
            </w:r>
            <w:r w:rsidR="00C86F60" w:rsidRPr="55CB3681">
              <w:rPr>
                <w:vertAlign w:val="superscript"/>
              </w:rPr>
              <w:t>1</w:t>
            </w:r>
            <w:r>
              <w:t xml:space="preserve"> lg 5 p-s 1 sätestatud 30-päevane tähtaeg. Sõnastuse kohaselt tuleb teavitus esitada 30 päeva jooksul tarbijakrediidilepingust tuleneva võlgnevuse registrisse kandmisest arvates, kuid eelnõust ei nähtu üheselt, mida peetakse registrisse kandmise hetkeks – kas seda, kui andmed sisestatakse registrisse, kui need muutuvad tarbijale endale nähtavaks või kui need muutuvad ka teistele päringuõigust omavatele isikutele avalikuks. Selline ebaselgus mõjutab otseselt teavitamiskohustuse tähtaegade arvutamist ja kohustuse prak</w:t>
            </w:r>
            <w:r w:rsidR="00C86F60">
              <w:t>ti</w:t>
            </w:r>
            <w:r>
              <w:t>list täitmist.</w:t>
            </w:r>
          </w:p>
          <w:p w14:paraId="56D981CB" w14:textId="7C25CB02" w:rsidR="00FA7B00" w:rsidRPr="00606CA5" w:rsidRDefault="00FA7B00" w:rsidP="4DC6FE60">
            <w:pPr>
              <w:rPr>
                <w:highlight w:val="yellow"/>
              </w:rPr>
            </w:pPr>
            <w:r>
              <w:t>Seetõ</w:t>
            </w:r>
            <w:r w:rsidR="00C86F60">
              <w:t>tt</w:t>
            </w:r>
            <w:r>
              <w:t>u teeme e</w:t>
            </w:r>
            <w:r w:rsidR="00C86F60">
              <w:t>tt</w:t>
            </w:r>
            <w:r>
              <w:t>epaneku sätestada, et teavitamiskohustus loetakse täidetuks teavituse mõistlikul viisil saatmisel, võ</w:t>
            </w:r>
            <w:r w:rsidR="00C86F60">
              <w:t>tt</w:t>
            </w:r>
            <w:r>
              <w:t xml:space="preserve">es arvesse ka </w:t>
            </w:r>
            <w:r w:rsidR="00C86F60">
              <w:t>direktiivi</w:t>
            </w:r>
            <w:r>
              <w:t xml:space="preserve"> preambuli punk</w:t>
            </w:r>
            <w:r w:rsidR="00C86F60">
              <w:t>ti</w:t>
            </w:r>
            <w:r>
              <w:t xml:space="preserve"> 57, mis viitab võimalusele saata hoiatusteade e-pos</w:t>
            </w:r>
            <w:r w:rsidR="00C86F60">
              <w:t>ti</w:t>
            </w:r>
            <w:r>
              <w:t xml:space="preserve"> teel. Lisaks palume täpsustada teavitamiskohustuse täitmise eest vastutav isik ning selgelt määratleda hetk, millest alates hakkab kulgema seaduses sätestatud 30-päevane tähtaeg</w:t>
            </w:r>
          </w:p>
        </w:tc>
        <w:tc>
          <w:tcPr>
            <w:tcW w:w="5016" w:type="dxa"/>
          </w:tcPr>
          <w:p w14:paraId="5D2C0BE7" w14:textId="1CCC94DF" w:rsidR="00D312C4" w:rsidRPr="00412371" w:rsidRDefault="5D968740" w:rsidP="000179B5">
            <w:pPr>
              <w:ind w:left="-5"/>
              <w:rPr>
                <w:b/>
                <w:bCs/>
              </w:rPr>
            </w:pPr>
            <w:r w:rsidRPr="4FB08B9C">
              <w:rPr>
                <w:b/>
                <w:bCs/>
              </w:rPr>
              <w:lastRenderedPageBreak/>
              <w:t xml:space="preserve">Arvestatud / </w:t>
            </w:r>
            <w:r w:rsidR="55269D74" w:rsidRPr="1CA901C0">
              <w:rPr>
                <w:b/>
                <w:bCs/>
              </w:rPr>
              <w:t>Selgitatud</w:t>
            </w:r>
          </w:p>
          <w:p w14:paraId="3C26390B" w14:textId="54E4E91F" w:rsidR="00D312C4" w:rsidRPr="00412371" w:rsidRDefault="0CE934DB" w:rsidP="000179B5">
            <w:pPr>
              <w:ind w:left="-5"/>
            </w:pPr>
            <w:r>
              <w:t>Tegemist on p</w:t>
            </w:r>
            <w:r w:rsidR="1BFEF028">
              <w:t>aralleelselt kohalduva</w:t>
            </w:r>
            <w:r w:rsidR="7D16EDF0">
              <w:t>te</w:t>
            </w:r>
            <w:r w:rsidR="1BFEF028">
              <w:t xml:space="preserve"> regulatsioonid</w:t>
            </w:r>
            <w:r w:rsidR="5FC72AF4">
              <w:t>ega</w:t>
            </w:r>
            <w:r w:rsidR="1BFEF028">
              <w:t>, st direktiiv täiendab IKÜM-</w:t>
            </w:r>
            <w:proofErr w:type="spellStart"/>
            <w:r w:rsidR="1BFEF028">
              <w:t>is</w:t>
            </w:r>
            <w:proofErr w:type="spellEnd"/>
            <w:r w:rsidR="1BFEF028">
              <w:t xml:space="preserve"> sätestatut. </w:t>
            </w:r>
            <w:r w:rsidR="7B660E04">
              <w:t xml:space="preserve">Praktikas võib siiski nii direktiivist kui ka IKÜM-ist tuleneva </w:t>
            </w:r>
            <w:r w:rsidR="4F4A951A">
              <w:t xml:space="preserve">teavituse teha koos. </w:t>
            </w:r>
            <w:r w:rsidR="575E2069">
              <w:t xml:space="preserve">Teisisõnu, </w:t>
            </w:r>
            <w:r w:rsidR="0307261F">
              <w:t>IKS § 10</w:t>
            </w:r>
            <w:r w:rsidR="0307261F" w:rsidRPr="4FB08B9C">
              <w:rPr>
                <w:vertAlign w:val="superscript"/>
              </w:rPr>
              <w:t>1</w:t>
            </w:r>
            <w:r w:rsidR="0307261F">
              <w:t xml:space="preserve"> lg 5 loomine IKÜM-i kõrvale</w:t>
            </w:r>
            <w:r w:rsidR="4F4A951A">
              <w:t xml:space="preserve"> ei tähenda, et tarbija peaks faktiliselt </w:t>
            </w:r>
            <w:r w:rsidR="1FFEDC6F">
              <w:t xml:space="preserve">saama </w:t>
            </w:r>
            <w:r w:rsidR="4F4A951A">
              <w:t xml:space="preserve">kaks eraldi </w:t>
            </w:r>
            <w:r w:rsidR="1873EF47">
              <w:t>teavitust. Piisab ühest</w:t>
            </w:r>
            <w:r w:rsidR="1BCFD35F">
              <w:t xml:space="preserve"> teavitusest</w:t>
            </w:r>
            <w:r w:rsidR="1873EF47">
              <w:t xml:space="preserve">, aga selle juures peab mõlema reeglite </w:t>
            </w:r>
            <w:r w:rsidR="23BF0BD4">
              <w:t>kogumi nõudeid järgima.</w:t>
            </w:r>
          </w:p>
          <w:p w14:paraId="068C54D0" w14:textId="63F3BC2E" w:rsidR="00D312C4" w:rsidRPr="00412371" w:rsidRDefault="23BF0BD4" w:rsidP="000179B5">
            <w:pPr>
              <w:ind w:left="-5"/>
            </w:pPr>
            <w:r>
              <w:t xml:space="preserve">Eelnõu seletuskirja on vastavalt täiendatud. </w:t>
            </w:r>
          </w:p>
          <w:p w14:paraId="2DD5EB60" w14:textId="78EEDBD5" w:rsidR="00D312C4" w:rsidRPr="00412371" w:rsidRDefault="00D312C4" w:rsidP="000179B5">
            <w:pPr>
              <w:ind w:left="-5"/>
            </w:pPr>
          </w:p>
          <w:p w14:paraId="66C67A2B" w14:textId="6066AE58" w:rsidR="00D312C4" w:rsidRPr="00412371" w:rsidRDefault="353D9FB6" w:rsidP="06FA4EED">
            <w:pPr>
              <w:spacing w:after="5" w:line="248" w:lineRule="auto"/>
              <w:ind w:left="-5" w:hanging="10"/>
            </w:pPr>
            <w:r w:rsidRPr="1AA90AA9">
              <w:rPr>
                <w:rFonts w:eastAsia="Times New Roman"/>
              </w:rPr>
              <w:t xml:space="preserve">Teiseks. </w:t>
            </w:r>
            <w:r w:rsidRPr="25352915">
              <w:rPr>
                <w:rFonts w:eastAsia="Times New Roman"/>
              </w:rPr>
              <w:t>Teavituse peab eelnõu kohaselt esitama tarbijale registripidaja. Artikli 19 lõike 7 esimene lause paneb selles ette nähtud kohustuse registripidajale (see võetakse üle lõikesse 4). Artikli 19 lõike 7 teine lause on sõnastatud umbisikuliselt, kuid artikli 19 lõike 7 ülesehitust ja kahe lause omavahelist seotust arvestades kohaldub ka teises lauses ette nähtud kohustus samuti registripidajale. Samamoodi on see ette nähtud ka Saksmaal ja Austrias direktiivi ülevõtmise eelnõudes, mis panevad vastava teavitamiskohustuse registripidajale. Seetõttu on ka eelnõukohases IKS § 10</w:t>
            </w:r>
            <w:r w:rsidRPr="25352915">
              <w:rPr>
                <w:rFonts w:eastAsia="Times New Roman"/>
                <w:vertAlign w:val="superscript"/>
              </w:rPr>
              <w:t>1</w:t>
            </w:r>
            <w:r w:rsidRPr="25352915">
              <w:rPr>
                <w:rFonts w:eastAsia="Times New Roman"/>
              </w:rPr>
              <w:t xml:space="preserve"> lõikes 5 nähtud vastav kohustus ette registripidajale. Tema on selle kohustuse täitmise eest vastutav, nii nagu see toimib praegu IKÜM artikli 14 kohaselt</w:t>
            </w:r>
            <w:r w:rsidRPr="1AA90AA9">
              <w:rPr>
                <w:rFonts w:eastAsia="Times New Roman"/>
              </w:rPr>
              <w:t xml:space="preserve">. </w:t>
            </w:r>
            <w:r w:rsidR="21AD2714" w:rsidRPr="06FA4EED">
              <w:rPr>
                <w:rFonts w:eastAsia="Times New Roman"/>
              </w:rPr>
              <w:lastRenderedPageBreak/>
              <w:t>Registripidajal on endal võimalik kontaktandmeid õigustatud huvi alusel rahvastikuregistrist saada.</w:t>
            </w:r>
          </w:p>
          <w:p w14:paraId="0C884F38" w14:textId="05A88CEB" w:rsidR="00D312C4" w:rsidRPr="00412371" w:rsidRDefault="353D9FB6" w:rsidP="79DCC38C">
            <w:pPr>
              <w:spacing w:after="5" w:line="248" w:lineRule="auto"/>
              <w:ind w:left="-5" w:hanging="10"/>
            </w:pPr>
            <w:r w:rsidRPr="25352915">
              <w:rPr>
                <w:rFonts w:eastAsia="Times New Roman"/>
              </w:rPr>
              <w:t>Kuid ei ole välistatud, et registripidaja kasutab teavituse tegemiseks mõnda täitmisabilist, näiteks registripidaja ja krediidiandja vahel sõlmitava kokkuleppe alusel krediidiandjat. See ei oleks eelnõuga vastuolus. Teisalt aga on krediidiandjal ja registripidajal omavahelises lepingulises suhtes võimalik reguleerida seda, kas krediidiandja peab registripidajale tarbija olemasolevad kontaktandmed edastama, et registripidaja saaks teavitamiskohustuse siiski ise täita.</w:t>
            </w:r>
            <w:r w:rsidRPr="79DCC38C">
              <w:rPr>
                <w:rFonts w:eastAsia="Times New Roman"/>
              </w:rPr>
              <w:t xml:space="preserve"> </w:t>
            </w:r>
            <w:r>
              <w:t xml:space="preserve">Eelnõu seletuskirja on vastavate selgitustega täiendatud. </w:t>
            </w:r>
          </w:p>
          <w:p w14:paraId="235066E3" w14:textId="1DF3D021" w:rsidR="00D312C4" w:rsidRPr="00412371" w:rsidRDefault="00D312C4" w:rsidP="79DCC38C">
            <w:pPr>
              <w:spacing w:after="5" w:line="248" w:lineRule="auto"/>
              <w:ind w:left="-5" w:hanging="10"/>
            </w:pPr>
          </w:p>
          <w:p w14:paraId="1F6EBCE3" w14:textId="3E1A3CDA" w:rsidR="00D312C4" w:rsidRPr="00412371" w:rsidRDefault="7FDBB4A7" w:rsidP="06855F8E">
            <w:pPr>
              <w:spacing w:after="5" w:line="248" w:lineRule="auto"/>
              <w:ind w:left="-5" w:hanging="10"/>
              <w:rPr>
                <w:rFonts w:eastAsia="Times New Roman"/>
              </w:rPr>
            </w:pPr>
            <w:r>
              <w:t>Kolmandaks. Seletuskirja on täiendatud ja täpsustatud, et t</w:t>
            </w:r>
            <w:r w:rsidRPr="31E4E1AC">
              <w:rPr>
                <w:rFonts w:eastAsia="Times New Roman"/>
              </w:rPr>
              <w:t xml:space="preserve">eavituse saatmiseks ei ole direktiivis ette nähtud konkreetset viisi ega vormi. Põhjenduspunktis 57 viidatakse ühe võimalusena tarbijale e-kirja saatmisele. Registripidajal on seetõttu võimalik valida teabe edastamiseks ise mõistlik viis, arvestades ka seda, missugused kontaktandmed tal konkreetse tarbija kohta olemas on.  </w:t>
            </w:r>
          </w:p>
          <w:p w14:paraId="3F62E31C" w14:textId="5ACABA74" w:rsidR="31E4E1AC" w:rsidRDefault="31E4E1AC" w:rsidP="31E4E1AC">
            <w:pPr>
              <w:spacing w:after="5" w:line="248" w:lineRule="auto"/>
              <w:ind w:left="-5" w:hanging="10"/>
              <w:rPr>
                <w:rFonts w:eastAsia="Times New Roman"/>
              </w:rPr>
            </w:pPr>
          </w:p>
          <w:p w14:paraId="71553C48" w14:textId="5D1597DB" w:rsidR="00D312C4" w:rsidRPr="00412371" w:rsidRDefault="5AA3C609" w:rsidP="79DCC38C">
            <w:pPr>
              <w:spacing w:after="5" w:line="248" w:lineRule="auto"/>
              <w:ind w:left="-5" w:hanging="10"/>
              <w:rPr>
                <w:rFonts w:eastAsia="Times New Roman"/>
              </w:rPr>
            </w:pPr>
            <w:r w:rsidRPr="31E4E1AC">
              <w:rPr>
                <w:rFonts w:eastAsia="Times New Roman"/>
              </w:rPr>
              <w:t xml:space="preserve">Neljandaks. Tähtaja kulgemise algushetkena on direktiivi artikkel 19 lg 7 määratlenud just andmete </w:t>
            </w:r>
            <w:r w:rsidR="53AEDBF9" w:rsidRPr="321DD5DD">
              <w:rPr>
                <w:rFonts w:eastAsia="Times New Roman"/>
                <w:i/>
                <w:iCs/>
              </w:rPr>
              <w:t>andmebaasi</w:t>
            </w:r>
            <w:r w:rsidRPr="31E4E1AC">
              <w:rPr>
                <w:rFonts w:eastAsia="Times New Roman"/>
                <w:i/>
                <w:iCs/>
              </w:rPr>
              <w:t xml:space="preserve"> kandmise</w:t>
            </w:r>
            <w:r w:rsidRPr="31E4E1AC">
              <w:rPr>
                <w:rFonts w:eastAsia="Times New Roman"/>
              </w:rPr>
              <w:t>, seda rohkem konkretiseerimata.</w:t>
            </w:r>
            <w:r w:rsidR="7E2F3B57" w:rsidRPr="31E4E1AC">
              <w:rPr>
                <w:rFonts w:eastAsia="Times New Roman"/>
              </w:rPr>
              <w:t xml:space="preserve"> </w:t>
            </w:r>
            <w:r w:rsidR="76689C14" w:rsidRPr="5366BB70">
              <w:rPr>
                <w:rFonts w:eastAsia="Times New Roman"/>
              </w:rPr>
              <w:t xml:space="preserve">Inglise keeles on kasutatud </w:t>
            </w:r>
            <w:r w:rsidR="76689C14" w:rsidRPr="321DD5DD">
              <w:rPr>
                <w:rFonts w:eastAsia="Times New Roman"/>
              </w:rPr>
              <w:t xml:space="preserve">andmebaasi </w:t>
            </w:r>
            <w:r w:rsidR="76689C14" w:rsidRPr="6219A9D9">
              <w:rPr>
                <w:rFonts w:eastAsia="Times New Roman"/>
              </w:rPr>
              <w:t>k</w:t>
            </w:r>
            <w:r w:rsidR="55CD6448" w:rsidRPr="6219A9D9">
              <w:rPr>
                <w:rFonts w:eastAsia="Times New Roman"/>
              </w:rPr>
              <w:t xml:space="preserve">andmise </w:t>
            </w:r>
            <w:r w:rsidR="57F736D4" w:rsidRPr="06FA4EED">
              <w:rPr>
                <w:rFonts w:eastAsia="Times New Roman"/>
              </w:rPr>
              <w:t>k</w:t>
            </w:r>
            <w:r w:rsidR="55CD6448" w:rsidRPr="06FA4EED">
              <w:rPr>
                <w:rFonts w:eastAsia="Times New Roman"/>
              </w:rPr>
              <w:t>ohta</w:t>
            </w:r>
            <w:r w:rsidR="55CD6448" w:rsidRPr="6219A9D9">
              <w:rPr>
                <w:rFonts w:eastAsia="Times New Roman"/>
              </w:rPr>
              <w:t xml:space="preserve"> </w:t>
            </w:r>
            <w:r w:rsidR="76689C14" w:rsidRPr="6219A9D9">
              <w:rPr>
                <w:rFonts w:eastAsia="Times New Roman"/>
              </w:rPr>
              <w:t xml:space="preserve">sõnastust </w:t>
            </w:r>
            <w:proofErr w:type="spellStart"/>
            <w:r w:rsidR="681314A2" w:rsidRPr="2873175D">
              <w:rPr>
                <w:rFonts w:eastAsia="Times New Roman"/>
                <w:i/>
                <w:iCs/>
              </w:rPr>
              <w:t>registration</w:t>
            </w:r>
            <w:proofErr w:type="spellEnd"/>
            <w:r w:rsidR="681314A2" w:rsidRPr="1E42FBA3">
              <w:rPr>
                <w:rFonts w:eastAsia="Times New Roman"/>
              </w:rPr>
              <w:t xml:space="preserve">, saksa keeles </w:t>
            </w:r>
            <w:proofErr w:type="spellStart"/>
            <w:r w:rsidR="681314A2" w:rsidRPr="2F25A067">
              <w:rPr>
                <w:rFonts w:eastAsia="Times New Roman"/>
                <w:i/>
              </w:rPr>
              <w:t>Eintragung</w:t>
            </w:r>
            <w:proofErr w:type="spellEnd"/>
            <w:r w:rsidR="681314A2" w:rsidRPr="597FD699">
              <w:rPr>
                <w:rFonts w:eastAsia="Times New Roman"/>
              </w:rPr>
              <w:t xml:space="preserve">, mis </w:t>
            </w:r>
            <w:r w:rsidR="681314A2" w:rsidRPr="5B458F92">
              <w:rPr>
                <w:rFonts w:eastAsia="Times New Roman"/>
              </w:rPr>
              <w:t xml:space="preserve">väljendavad sama </w:t>
            </w:r>
            <w:r w:rsidR="681314A2" w:rsidRPr="657A8102">
              <w:rPr>
                <w:rFonts w:eastAsia="Times New Roman"/>
              </w:rPr>
              <w:t xml:space="preserve">mõtet, nagu eesti </w:t>
            </w:r>
            <w:r w:rsidR="681314A2" w:rsidRPr="03F8AB05">
              <w:rPr>
                <w:rFonts w:eastAsia="Times New Roman"/>
              </w:rPr>
              <w:t xml:space="preserve">keeles registrisse kandmine. </w:t>
            </w:r>
            <w:r w:rsidR="276A1BBC" w:rsidRPr="55CB3681">
              <w:rPr>
                <w:rFonts w:eastAsia="Times New Roman"/>
              </w:rPr>
              <w:t xml:space="preserve">30 päeva hakkab seetõttu kulgema andmete registrisse kandmisest. </w:t>
            </w:r>
            <w:r w:rsidR="068A85DD" w:rsidRPr="55CB3681">
              <w:rPr>
                <w:rFonts w:eastAsia="Times New Roman"/>
              </w:rPr>
              <w:t xml:space="preserve">See ei ole direktiivi sõnastuse kohaselt otseselt seotud nende nähtavaks tegemisega. </w:t>
            </w:r>
          </w:p>
        </w:tc>
      </w:tr>
      <w:tr w:rsidR="00D22FD2" w14:paraId="1E060476" w14:textId="77777777" w:rsidTr="00617FBE">
        <w:tc>
          <w:tcPr>
            <w:tcW w:w="576" w:type="dxa"/>
          </w:tcPr>
          <w:p w14:paraId="707C7AA2" w14:textId="04723719" w:rsidR="00042307" w:rsidRDefault="007A08EC" w:rsidP="000179B5">
            <w:pPr>
              <w:jc w:val="center"/>
            </w:pPr>
            <w:r>
              <w:lastRenderedPageBreak/>
              <w:t>25</w:t>
            </w:r>
          </w:p>
        </w:tc>
        <w:tc>
          <w:tcPr>
            <w:tcW w:w="5040" w:type="dxa"/>
          </w:tcPr>
          <w:p w14:paraId="5FB8E9F1" w14:textId="77777777" w:rsidR="00042307" w:rsidRDefault="00042307" w:rsidP="004E257F">
            <w:r>
              <w:t>Ettepanek</w:t>
            </w:r>
            <w:r w:rsidR="00FC1A45">
              <w:t xml:space="preserve"> </w:t>
            </w:r>
            <w:r w:rsidRPr="00042307">
              <w:t>viia IKS § 10</w:t>
            </w:r>
            <w:r w:rsidR="00FC1A45">
              <w:rPr>
                <w:vertAlign w:val="superscript"/>
              </w:rPr>
              <w:t>1</w:t>
            </w:r>
            <w:r w:rsidRPr="00042307">
              <w:t xml:space="preserve"> lg 6 sõnastus kooskõlla </w:t>
            </w:r>
            <w:r w:rsidR="00FC1A45">
              <w:t>direkti</w:t>
            </w:r>
            <w:r w:rsidRPr="00042307">
              <w:t>ivi ar</w:t>
            </w:r>
            <w:r w:rsidR="00FC1A45">
              <w:t>ti</w:t>
            </w:r>
            <w:r w:rsidRPr="00042307">
              <w:t>kkel 19 sõnastusega, mille kohaselt peab liikmesriik tagama kaebuste esitamise menetluste olemasolu, mi</w:t>
            </w:r>
            <w:r w:rsidR="00FC1A45">
              <w:t>ll</w:t>
            </w:r>
            <w:r w:rsidRPr="00042307">
              <w:t>e looma juurde uut vaide esitamise mehhanismi</w:t>
            </w:r>
            <w:r w:rsidR="00FC1A45">
              <w:t>.</w:t>
            </w:r>
          </w:p>
          <w:p w14:paraId="2B7578CF" w14:textId="237A94A4" w:rsidR="00C825CE" w:rsidRDefault="00C825CE" w:rsidP="00C825CE">
            <w:r>
              <w:t>IKS § 10</w:t>
            </w:r>
            <w:r>
              <w:rPr>
                <w:vertAlign w:val="superscript"/>
              </w:rPr>
              <w:t>1</w:t>
            </w:r>
            <w:r>
              <w:t xml:space="preserve"> </w:t>
            </w:r>
            <w:proofErr w:type="spellStart"/>
            <w:r>
              <w:t>lg-ga</w:t>
            </w:r>
            <w:proofErr w:type="spellEnd"/>
            <w:r>
              <w:t xml:space="preserve"> 6 dubleeritakse vaidemenetluse/vaidluste esitamise võimaluse loomise kohustus. Direktiivi art 19 lg 8 nõuab kaebuste esitamise menetluste olemasolu, mille </w:t>
            </w:r>
          </w:p>
          <w:p w14:paraId="54A86820" w14:textId="77777777" w:rsidR="00C825CE" w:rsidRDefault="00C825CE" w:rsidP="00C825CE">
            <w:r>
              <w:t xml:space="preserve">eraldiseisva vaidluste menetlemise korra loomist. </w:t>
            </w:r>
          </w:p>
          <w:p w14:paraId="7349B365" w14:textId="59E8C11D" w:rsidR="00C825CE" w:rsidRDefault="00C825CE" w:rsidP="00C825CE">
            <w:r>
              <w:lastRenderedPageBreak/>
              <w:t xml:space="preserve">Nimelt IKÜM-i alusel on andmesubjektidel õigus vastuväite esitamisele, õigus andmete parandamisele ja kustutamisele ja õigus pöörduda järelevalveasutuse poole. IKS eelnõu loob täiendava, sisuliselt paralleelse menetluskohustuse ilma selge piiritlemiseta IKÜM-ist tulenevate õigustega, mis võib kaasa tuua normikonflikti ja menetlusliku dubleerimise ehk põhjendamatu ressursi ja kulude kaasnemise. Eelnõu seletuskirja lg 6 selgituses mööndakse, et regulatsioon on sisuliselt sarnane IKÜM-ist tulenevale vastuväite esitamise õigusega ning omab eelkõige selgitavat tähendust. Teisalt sätestatakse ja selgitatakse selgesõnaliselt, et registripidaja peab looma eraldiseisva sisemise menetluse, mille kaudu tarbija saab registris sisalduvat teavet vaidlustada, sealhulgas looma veebilehel vastava vormi või muu lahenduse ning vaatama esitatud vaidlustused läbi mõistliku aja jooksul. Selline käsitlus viitab uue iseseisva menetluskohustuse loomisele, mis ei ole pelgalt selgitava iseloomuga, vaid paneb andmebaasi haldajale täiendavaid organisatsioonilisi ja </w:t>
            </w:r>
            <w:proofErr w:type="spellStart"/>
            <w:r>
              <w:t>menetluslikke</w:t>
            </w:r>
            <w:proofErr w:type="spellEnd"/>
            <w:r>
              <w:t xml:space="preserve"> kohustusi. Seletuskirjas esitatud selgitus on vastuoluline ega käsitle direktiivist ja IKÜM-ist tulenevat andmesubjekti vastuväiteõigust ning andmebaasi </w:t>
            </w:r>
          </w:p>
          <w:p w14:paraId="6D7413DD" w14:textId="77777777" w:rsidR="00C825CE" w:rsidRDefault="00C825CE" w:rsidP="00C825CE">
            <w:r>
              <w:t xml:space="preserve">andmete vaidlustamise menetlust oma olemuselt samaväärse ja ühetaolise menetlusena. </w:t>
            </w:r>
          </w:p>
          <w:p w14:paraId="35010944" w14:textId="7E804639" w:rsidR="00C825CE" w:rsidRDefault="00C825CE" w:rsidP="00C825CE">
            <w:r>
              <w:t>Seletuskirjast jääb selgusetuks ka vaidluste lahendamise ajaline põhjendatus „mõistliku aja jooksul“, mis on ilmselgelt iga tarbija jaoks erinev ajaühik. Samuti on eelnõus kasutatud mõiste „hõlpsasti“, mis on sisustamata ja subjektiivne ning ei anna registripidajale ega andmesubjektile piisavat õigusselgust.</w:t>
            </w:r>
          </w:p>
          <w:p w14:paraId="034D8072" w14:textId="3E0679CD" w:rsidR="00C825CE" w:rsidRPr="00384A85" w:rsidRDefault="00C825CE" w:rsidP="4DC6FE60">
            <w:r w:rsidRPr="00384A85">
              <w:t>Lisaks ei sätesta eelnõu menetlustähtaega, vaidlustatud andmete ajutise märgistamise kohustust ega registripidaja ja andmeesitaja vastutuse jaotust andmete õigsuse kontrollimisel ja vaidluste lahendamisel. Arvestades regulatsiooni rikkumisega kaasnevat sanktsioonitaset, peab selline kohustus olema selgelt piiritletud ning menetlusraamistik üheselt mõistetav.</w:t>
            </w:r>
          </w:p>
          <w:p w14:paraId="77DDA231" w14:textId="3B84EF69" w:rsidR="00C825CE" w:rsidRPr="00384A85" w:rsidRDefault="00C825CE" w:rsidP="4DC6FE60">
            <w:r w:rsidRPr="00384A85">
              <w:t xml:space="preserve">Leiame, et kuivõrd tegemist on tarbija õigusega vaidlustada andmebaasi sisestatud andmeid, on põhjendatud lähtuda vaidluste lahendamisel ja vastamisel IKÜM-ist tulenevast tähtajast, s.o andmesubjektile (tarbijale) vastamise tähtaeg ühe kuu jooksul vastava pöördumise saamisest ning vajadusel vastamise tähtaja pikendamisest IKÜM </w:t>
            </w:r>
            <w:r w:rsidRPr="00384A85">
              <w:lastRenderedPageBreak/>
              <w:t>art 12 lg 3 alusel, millest tuleb andmesubjekti (tarbijat) teavitada koos põhjendusega.</w:t>
            </w:r>
          </w:p>
          <w:p w14:paraId="72799C20" w14:textId="5D789412" w:rsidR="00C825CE" w:rsidRDefault="00C825CE" w:rsidP="00C825CE">
            <w:r w:rsidRPr="00384A85">
              <w:t>Seetõttu teeme ettepaneku sätestada selge menetlustähtaeg ja üheselt määratletud menetlusraamistik ning hinnata, kas IKÜM-ist tulenevad andmesubjekti õigused ei kata juba direktiivi artiklis 19 sätestatud nõuet kaebuste esitamise menetluse olemasolu kohta.</w:t>
            </w:r>
          </w:p>
        </w:tc>
        <w:tc>
          <w:tcPr>
            <w:tcW w:w="5016" w:type="dxa"/>
          </w:tcPr>
          <w:p w14:paraId="3547B468" w14:textId="1EF33240" w:rsidR="00042307" w:rsidRPr="00412371" w:rsidRDefault="12C3BA55" w:rsidP="2D34D7CD">
            <w:pPr>
              <w:ind w:left="-5"/>
              <w:rPr>
                <w:b/>
                <w:bCs/>
              </w:rPr>
            </w:pPr>
            <w:r w:rsidRPr="2D34D7CD">
              <w:rPr>
                <w:b/>
                <w:bCs/>
              </w:rPr>
              <w:lastRenderedPageBreak/>
              <w:t>Arvestatud</w:t>
            </w:r>
            <w:r w:rsidR="005C3635">
              <w:rPr>
                <w:b/>
                <w:bCs/>
              </w:rPr>
              <w:t>.</w:t>
            </w:r>
          </w:p>
          <w:p w14:paraId="07271108" w14:textId="77777777" w:rsidR="00042307" w:rsidRDefault="12C3BA55" w:rsidP="000179B5">
            <w:pPr>
              <w:ind w:left="-5"/>
            </w:pPr>
            <w:r>
              <w:t>Eelnõu on muudetud. Eelnõu uue sõnastuse kohaselt peab registripidaja</w:t>
            </w:r>
            <w:r w:rsidR="260B0281">
              <w:t xml:space="preserve"> </w:t>
            </w:r>
            <w:r w:rsidR="5930AFBD">
              <w:t>taga</w:t>
            </w:r>
            <w:r w:rsidR="019D915B">
              <w:t>ma</w:t>
            </w:r>
            <w:r w:rsidR="5930AFBD">
              <w:t xml:space="preserve"> </w:t>
            </w:r>
            <w:r w:rsidR="4290F2EC">
              <w:t xml:space="preserve">vastava </w:t>
            </w:r>
            <w:r w:rsidR="5930AFBD">
              <w:t>korra olemasolu</w:t>
            </w:r>
            <w:r w:rsidR="41280DEF">
              <w:t>.</w:t>
            </w:r>
            <w:r w:rsidR="75701040">
              <w:t xml:space="preserve"> See hõlmab nii juba praegu olemasolevaid mee</w:t>
            </w:r>
            <w:r w:rsidR="71C4FCC8">
              <w:t>tmeid</w:t>
            </w:r>
            <w:r w:rsidR="51CA365F">
              <w:t>, mis juba vastavad lõike 6 nõuetele,</w:t>
            </w:r>
            <w:r w:rsidR="71C4FCC8">
              <w:t xml:space="preserve"> kui ka selliseid mehhan</w:t>
            </w:r>
            <w:r w:rsidR="7FDDCA25">
              <w:t xml:space="preserve">isme, mille registripidaja peab looma. </w:t>
            </w:r>
            <w:r w:rsidR="727B7090">
              <w:t>Vastav selgitus on lisatud ka eelnõu seletuskirja.</w:t>
            </w:r>
          </w:p>
          <w:p w14:paraId="3E675A75" w14:textId="215A4419" w:rsidR="005C3635" w:rsidRPr="00412371" w:rsidRDefault="005C3635" w:rsidP="000179B5">
            <w:pPr>
              <w:ind w:left="-5"/>
            </w:pPr>
            <w:r>
              <w:t xml:space="preserve">Direktiiv (EL) 2023/2225 artikkel 19 ei sisalda täpsemaid registris olevate andmete vaidlustamise nõudeid, sh </w:t>
            </w:r>
            <w:r w:rsidRPr="00384A85">
              <w:t xml:space="preserve">menetlustähtaega, vaidlustatud </w:t>
            </w:r>
            <w:r w:rsidRPr="00384A85">
              <w:lastRenderedPageBreak/>
              <w:t>andmete ajutise märgistamise kohustust ega registripidaja ja andmeesitaja vastutuse jaotust andmete õigsuse kontrollimisel ja vaidluste lahendamisel.</w:t>
            </w:r>
            <w:r>
              <w:t xml:space="preserve"> Eelnõu autorid leiavad, et sarnaselt muule artikli 19 regulatsioonile ja seal sisalduvatele kohustustele, millel on selge paralleel IKÜM-iga, tuleb ka siinkohal lähtuda eelkõige IKÜM-</w:t>
            </w:r>
            <w:proofErr w:type="spellStart"/>
            <w:r>
              <w:t>is</w:t>
            </w:r>
            <w:proofErr w:type="spellEnd"/>
            <w:r>
              <w:t xml:space="preserve"> sätestatust. Eelnõu seletuskirja on vastavalt ka täiendatud. </w:t>
            </w:r>
          </w:p>
        </w:tc>
      </w:tr>
      <w:tr w:rsidR="00D22FD2" w14:paraId="13D5A6EC" w14:textId="77777777" w:rsidTr="00617FBE">
        <w:tc>
          <w:tcPr>
            <w:tcW w:w="576" w:type="dxa"/>
          </w:tcPr>
          <w:p w14:paraId="2959B353" w14:textId="495A1E2B" w:rsidR="00D265C8" w:rsidRDefault="00384A85" w:rsidP="000179B5">
            <w:pPr>
              <w:jc w:val="center"/>
            </w:pPr>
            <w:r>
              <w:lastRenderedPageBreak/>
              <w:t>26</w:t>
            </w:r>
          </w:p>
        </w:tc>
        <w:tc>
          <w:tcPr>
            <w:tcW w:w="5040" w:type="dxa"/>
          </w:tcPr>
          <w:p w14:paraId="71414706" w14:textId="4A514CC1" w:rsidR="00D265C8" w:rsidRDefault="00D265C8" w:rsidP="004E257F">
            <w:r w:rsidRPr="00D265C8">
              <w:t>E</w:t>
            </w:r>
            <w:r>
              <w:t>tt</w:t>
            </w:r>
            <w:r w:rsidRPr="00D265C8">
              <w:t>epanek viia IKS § 71</w:t>
            </w:r>
            <w:r>
              <w:rPr>
                <w:vertAlign w:val="superscript"/>
              </w:rPr>
              <w:t>1</w:t>
            </w:r>
            <w:r w:rsidRPr="00D265C8">
              <w:t xml:space="preserve"> sõnastus kooskõlla direk</w:t>
            </w:r>
            <w:r>
              <w:t>tiivi</w:t>
            </w:r>
            <w:r w:rsidRPr="00D265C8">
              <w:t xml:space="preserve"> ar</w:t>
            </w:r>
            <w:r>
              <w:t>ti</w:t>
            </w:r>
            <w:r w:rsidRPr="00D265C8">
              <w:t>kkel 44 sõnastusega, mille kohaselt peab liikmesriik kehtestama tõhusad, proportsionaalsed ja hoiatavad sanktsioonid, mi</w:t>
            </w:r>
            <w:r>
              <w:t>ll</w:t>
            </w:r>
            <w:r w:rsidRPr="00D265C8">
              <w:t>e aga üle võtma IKÜM-i trahve ja trahvimäärasid, mis on nagunii andmekaitse nõuete rikkumise eest e</w:t>
            </w:r>
            <w:r>
              <w:t>tt</w:t>
            </w:r>
            <w:r w:rsidRPr="00D265C8">
              <w:t>e nähtud</w:t>
            </w:r>
            <w:r>
              <w:t xml:space="preserve">. </w:t>
            </w:r>
          </w:p>
        </w:tc>
        <w:tc>
          <w:tcPr>
            <w:tcW w:w="5016" w:type="dxa"/>
          </w:tcPr>
          <w:p w14:paraId="671187E7" w14:textId="7DAC499E" w:rsidR="00D265C8" w:rsidRPr="00412371" w:rsidRDefault="29B2D1C2" w:rsidP="000179B5">
            <w:pPr>
              <w:ind w:left="-5"/>
            </w:pPr>
            <w:r w:rsidRPr="178B8483">
              <w:rPr>
                <w:b/>
                <w:bCs/>
              </w:rPr>
              <w:t>Arvestatud osaliselt / selgitatud</w:t>
            </w:r>
            <w:r>
              <w:t>.</w:t>
            </w:r>
          </w:p>
          <w:p w14:paraId="38FEE4F3" w14:textId="66958512" w:rsidR="00D265C8" w:rsidRPr="00412371" w:rsidRDefault="61F4DCF9" w:rsidP="178B8483">
            <w:pPr>
              <w:spacing w:after="5" w:line="248" w:lineRule="auto"/>
              <w:ind w:left="-5" w:hanging="10"/>
              <w:rPr>
                <w:rFonts w:eastAsia="Times New Roman"/>
              </w:rPr>
            </w:pPr>
            <w:r w:rsidRPr="178B8483">
              <w:rPr>
                <w:rFonts w:eastAsia="Times New Roman"/>
              </w:rPr>
              <w:t xml:space="preserve">Kuivõrd direktiivi artikkel 19 võetakse üle </w:t>
            </w:r>
            <w:proofErr w:type="spellStart"/>
            <w:r w:rsidRPr="178B8483">
              <w:rPr>
                <w:rFonts w:eastAsia="Times New Roman"/>
              </w:rPr>
              <w:t>IKS-i</w:t>
            </w:r>
            <w:proofErr w:type="spellEnd"/>
            <w:r w:rsidRPr="178B8483">
              <w:rPr>
                <w:rFonts w:eastAsia="Times New Roman"/>
              </w:rPr>
              <w:t xml:space="preserve"> ja need reeglid on käsitletavad andmekaitse reeglitena, siis peab nende rikkumisele kohalduma ka </w:t>
            </w:r>
            <w:proofErr w:type="spellStart"/>
            <w:r w:rsidRPr="178B8483">
              <w:rPr>
                <w:rFonts w:eastAsia="Times New Roman"/>
              </w:rPr>
              <w:t>IKS-i</w:t>
            </w:r>
            <w:proofErr w:type="spellEnd"/>
            <w:r w:rsidRPr="178B8483">
              <w:rPr>
                <w:rFonts w:eastAsia="Times New Roman"/>
              </w:rPr>
              <w:t xml:space="preserve"> sanktsioonide regulatsioon.</w:t>
            </w:r>
          </w:p>
          <w:p w14:paraId="78414A26" w14:textId="230F84FC" w:rsidR="00D265C8" w:rsidRPr="00412371" w:rsidRDefault="704AE116" w:rsidP="178B8483">
            <w:pPr>
              <w:spacing w:after="5" w:line="248" w:lineRule="auto"/>
              <w:ind w:left="-5" w:hanging="10"/>
              <w:rPr>
                <w:rFonts w:eastAsia="Times New Roman"/>
              </w:rPr>
            </w:pPr>
            <w:r w:rsidRPr="178B8483">
              <w:rPr>
                <w:rFonts w:eastAsia="Times New Roman"/>
              </w:rPr>
              <w:t xml:space="preserve">Samas arvestades eelnõu kooskõlastamisel saadud tagasisidet on  eelnõus </w:t>
            </w:r>
            <w:proofErr w:type="spellStart"/>
            <w:r w:rsidRPr="178B8483">
              <w:rPr>
                <w:rFonts w:eastAsia="Times New Roman"/>
              </w:rPr>
              <w:t>IKS-i</w:t>
            </w:r>
            <w:proofErr w:type="spellEnd"/>
            <w:r w:rsidRPr="178B8483">
              <w:rPr>
                <w:rFonts w:eastAsia="Times New Roman"/>
              </w:rPr>
              <w:t xml:space="preserve"> väärteotrahvi maksimaalset määra korrigeeritud ja nähtud kompromissina ette </w:t>
            </w:r>
            <w:proofErr w:type="spellStart"/>
            <w:r w:rsidRPr="178B8483">
              <w:rPr>
                <w:rFonts w:eastAsia="Times New Roman"/>
              </w:rPr>
              <w:t>IKS-is</w:t>
            </w:r>
            <w:proofErr w:type="spellEnd"/>
            <w:r w:rsidRPr="178B8483">
              <w:rPr>
                <w:rFonts w:eastAsia="Times New Roman"/>
              </w:rPr>
              <w:t xml:space="preserve"> kasutatavatest määradest madalam määr 10 000 000 eurot.</w:t>
            </w:r>
          </w:p>
          <w:p w14:paraId="704EA325" w14:textId="287D2374" w:rsidR="00D265C8" w:rsidRPr="00412371" w:rsidRDefault="00D265C8" w:rsidP="000179B5">
            <w:pPr>
              <w:ind w:left="-5"/>
            </w:pPr>
          </w:p>
        </w:tc>
      </w:tr>
      <w:tr w:rsidR="002A6C9D" w14:paraId="67D78D89" w14:textId="77777777" w:rsidTr="00617FBE">
        <w:tc>
          <w:tcPr>
            <w:tcW w:w="10632" w:type="dxa"/>
            <w:gridSpan w:val="3"/>
          </w:tcPr>
          <w:p w14:paraId="1AC738B7" w14:textId="189E57F4" w:rsidR="00866E95" w:rsidRPr="00412371" w:rsidRDefault="00384A85" w:rsidP="000179B5">
            <w:pPr>
              <w:ind w:left="-5"/>
            </w:pPr>
            <w:r>
              <w:t>Krediidiandjate ja -vahendajate seadus</w:t>
            </w:r>
          </w:p>
        </w:tc>
      </w:tr>
      <w:tr w:rsidR="00D22FD2" w14:paraId="3CCB3BE4" w14:textId="77777777" w:rsidTr="00617FBE">
        <w:tc>
          <w:tcPr>
            <w:tcW w:w="576" w:type="dxa"/>
          </w:tcPr>
          <w:p w14:paraId="5C03E204" w14:textId="7B5AC9C5" w:rsidR="000179B5" w:rsidRDefault="00384A85" w:rsidP="000179B5">
            <w:pPr>
              <w:jc w:val="center"/>
            </w:pPr>
            <w:r>
              <w:t>27</w:t>
            </w:r>
          </w:p>
        </w:tc>
        <w:tc>
          <w:tcPr>
            <w:tcW w:w="5040" w:type="dxa"/>
          </w:tcPr>
          <w:p w14:paraId="7C606DDE" w14:textId="77777777" w:rsidR="00093F95" w:rsidRPr="00DF2069" w:rsidRDefault="00093F95" w:rsidP="00093F95">
            <w:r w:rsidRPr="00DF2069">
              <w:t>Ettepanekud:</w:t>
            </w:r>
          </w:p>
          <w:p w14:paraId="0CEEB146" w14:textId="59D490D5" w:rsidR="000179B5" w:rsidRPr="00DF2069" w:rsidRDefault="00093F95" w:rsidP="00093F95">
            <w:r w:rsidRPr="00DF2069">
              <w:rPr>
                <w:rFonts w:eastAsiaTheme="majorEastAsia" w:cstheme="majorBidi"/>
              </w:rPr>
              <w:t>(i</w:t>
            </w:r>
            <w:r w:rsidRPr="00DF2069">
              <w:rPr>
                <w:rFonts w:eastAsia="Calibri"/>
              </w:rPr>
              <w:t>) T</w:t>
            </w:r>
            <w:r w:rsidR="000179B5" w:rsidRPr="00DF2069">
              <w:rPr>
                <w:rFonts w:eastAsia="Calibri"/>
              </w:rPr>
              <w:t xml:space="preserve">äpsustada seaduse tasandil proportsionaalsuse põhimõtte rakendamist krediidivõimelisuse hindamisel. </w:t>
            </w:r>
            <w:r w:rsidR="000179B5" w:rsidRPr="00DF2069">
              <w:t>KAVS § 50 lg 3 tuleks sõnastada viisil, et teabe „asjakohane kontrollimine“ alluks VÕS § 403</w:t>
            </w:r>
            <w:r w:rsidR="000179B5" w:rsidRPr="00DF2069">
              <w:rPr>
                <w:rFonts w:eastAsia="Calibri"/>
                <w:vertAlign w:val="superscript"/>
              </w:rPr>
              <w:t>4</w:t>
            </w:r>
            <w:r w:rsidR="000179B5" w:rsidRPr="00DF2069">
              <w:t xml:space="preserve"> lg 2 proportsionaalsuse põhimõttele ning et sõltumatult kontrollitava dokumentatsiooni kasutamine ei oleks universaalne kohustus, vaid sõltuks krediidi liigist ja riskitasemest. Sellest tulenevalt teeme ettepaneku KAVS § 50 lg 3 muutmiseks järgmises sõnastuses:</w:t>
            </w:r>
            <w:r w:rsidR="000179B5" w:rsidRPr="00DF2069">
              <w:rPr>
                <w:rFonts w:eastAsia="Calibri"/>
              </w:rPr>
              <w:t xml:space="preserve"> </w:t>
            </w:r>
          </w:p>
          <w:p w14:paraId="3C139582" w14:textId="77777777" w:rsidR="000179B5" w:rsidRPr="00DF2069" w:rsidRDefault="000179B5" w:rsidP="00093F95">
            <w:r w:rsidRPr="00DF2069">
              <w:t>“</w:t>
            </w:r>
            <w:r w:rsidRPr="00DF2069">
              <w:rPr>
                <w:rFonts w:eastAsia="Calibri"/>
                <w:i/>
              </w:rPr>
              <w:t>Krediidiandja või -vahendaja kontrollib krediidivõimelisuse hindamiseks kogutud teavet asjakohaselt, arvestades võlaõigusseaduse § 403</w:t>
            </w:r>
            <w:r w:rsidRPr="00DF2069">
              <w:rPr>
                <w:rFonts w:eastAsia="Calibri"/>
                <w:i/>
                <w:vertAlign w:val="superscript"/>
              </w:rPr>
              <w:t>4</w:t>
            </w:r>
            <w:r w:rsidRPr="00DF2069">
              <w:rPr>
                <w:rFonts w:eastAsia="Calibri"/>
                <w:i/>
              </w:rPr>
              <w:t xml:space="preserve"> lõikes 2 sätestatud hindamise ulatust. Kontrolli ulatus ja meetod peavad olema vajalikud ja proportsionaalsed, lähtudes krediidi liigist, kestusest, summast ja krediidist tulenevatest riskidest</w:t>
            </w:r>
            <w:r w:rsidRPr="00DF2069">
              <w:t xml:space="preserve">.” </w:t>
            </w:r>
          </w:p>
          <w:p w14:paraId="0B341C55" w14:textId="5C657873" w:rsidR="00093F95" w:rsidRPr="00503610" w:rsidRDefault="00093F95" w:rsidP="00093F95">
            <w:r w:rsidRPr="00DF2069">
              <w:rPr>
                <w:rFonts w:eastAsia="Calibri"/>
              </w:rPr>
              <w:t>(ii)</w:t>
            </w:r>
            <w:r w:rsidR="00B618EA">
              <w:rPr>
                <w:rFonts w:eastAsia="Calibri"/>
              </w:rPr>
              <w:t xml:space="preserve"> </w:t>
            </w:r>
            <w:r w:rsidR="000179B5" w:rsidRPr="00DF2069">
              <w:rPr>
                <w:rFonts w:eastAsia="Calibri"/>
              </w:rPr>
              <w:t xml:space="preserve">Täpsustada </w:t>
            </w:r>
            <w:r w:rsidR="000179B5" w:rsidRPr="00DF2069">
              <w:rPr>
                <w:rFonts w:eastAsia="Calibri"/>
              </w:rPr>
              <w:tab/>
              <w:t>seletuskirja</w:t>
            </w:r>
            <w:r w:rsidR="00B618EA">
              <w:rPr>
                <w:rFonts w:eastAsia="Calibri"/>
              </w:rPr>
              <w:t>s</w:t>
            </w:r>
            <w:r w:rsidR="00503610">
              <w:rPr>
                <w:rFonts w:eastAsia="Calibri"/>
              </w:rPr>
              <w:t xml:space="preserve"> </w:t>
            </w:r>
            <w:r w:rsidR="000179B5" w:rsidRPr="00DF2069">
              <w:rPr>
                <w:rFonts w:eastAsia="Calibri"/>
              </w:rPr>
              <w:t xml:space="preserve">proportsionaalsuse </w:t>
            </w:r>
            <w:r w:rsidR="000179B5" w:rsidRPr="00DF2069">
              <w:rPr>
                <w:rFonts w:eastAsia="Calibri"/>
              </w:rPr>
              <w:tab/>
              <w:t>põhimõtte</w:t>
            </w:r>
            <w:r w:rsidRPr="00DF2069">
              <w:rPr>
                <w:rFonts w:eastAsia="Calibri"/>
              </w:rPr>
              <w:t xml:space="preserve"> </w:t>
            </w:r>
            <w:r w:rsidR="000179B5" w:rsidRPr="00DF2069">
              <w:rPr>
                <w:rFonts w:eastAsia="Calibri"/>
              </w:rPr>
              <w:t>rakendamist.</w:t>
            </w:r>
            <w:r w:rsidR="00503610" w:rsidRPr="00DF2069">
              <w:t xml:space="preserve"> </w:t>
            </w:r>
            <w:r w:rsidR="000179B5" w:rsidRPr="00DF2069">
              <w:t>Seletuskirjas tuleks selgitada, milliste objektiivsete kriteeriumide alusel krediidiandja määrab krediidivõimelisuse hindamise ulatuse ning kuidas on võimalik diferentseerida hindamistoiminguid erinevate krediiditoodete, riskitasemete ja rahaliste kohustuste suuruse alusel.</w:t>
            </w:r>
          </w:p>
          <w:p w14:paraId="1C02AAA1" w14:textId="673B4ABC" w:rsidR="000179B5" w:rsidRDefault="00093F95" w:rsidP="00C92770">
            <w:r w:rsidRPr="00DF2069">
              <w:t xml:space="preserve">(iii) </w:t>
            </w:r>
            <w:r w:rsidR="000179B5" w:rsidRPr="00DF2069">
              <w:rPr>
                <w:rFonts w:eastAsia="Calibri"/>
              </w:rPr>
              <w:t xml:space="preserve">Täpsustada seletuskirjas „tarbijakrediidilepingust tulenevate rahaliste </w:t>
            </w:r>
            <w:r w:rsidR="000179B5" w:rsidRPr="00DF2069">
              <w:rPr>
                <w:rFonts w:eastAsia="Calibri"/>
              </w:rPr>
              <w:lastRenderedPageBreak/>
              <w:t xml:space="preserve">kohustuste võimaliku suurenemise“ tähendust. </w:t>
            </w:r>
            <w:r w:rsidR="000179B5" w:rsidRPr="00DF2069">
              <w:t xml:space="preserve">Õigusselguse tagamiseks tuleks seletuskirjas üheselt selgitada, et hinnata tuleb üksnes sõlmitavast tarbijakrediidilepingust tulenevate rahaliste kohustuste võimalikku suurenemist, mitte tarbija kõigi olemasolevate krediidikohustuste võimalikku muutumist. </w:t>
            </w:r>
          </w:p>
        </w:tc>
        <w:tc>
          <w:tcPr>
            <w:tcW w:w="5016" w:type="dxa"/>
          </w:tcPr>
          <w:p w14:paraId="1F6A8561" w14:textId="522A9020" w:rsidR="007F78DA" w:rsidRPr="007F78DA" w:rsidRDefault="007F78DA" w:rsidP="007F78DA">
            <w:pPr>
              <w:rPr>
                <w:b/>
                <w:bCs/>
              </w:rPr>
            </w:pPr>
            <w:r w:rsidRPr="007F78DA">
              <w:rPr>
                <w:b/>
                <w:bCs/>
              </w:rPr>
              <w:lastRenderedPageBreak/>
              <w:t xml:space="preserve">Arvestatud osaliselt / Selgitatud. </w:t>
            </w:r>
          </w:p>
          <w:p w14:paraId="6A83A18B" w14:textId="0872BC2F" w:rsidR="002775EA" w:rsidRPr="001D1730" w:rsidRDefault="001D1730" w:rsidP="001D1730">
            <w:pPr>
              <w:rPr>
                <w:rFonts w:eastAsia="Calibri" w:cs="Calibri"/>
                <w:iCs/>
              </w:rPr>
            </w:pPr>
            <w:r>
              <w:t xml:space="preserve">(i) </w:t>
            </w:r>
            <w:r w:rsidR="002775EA">
              <w:t xml:space="preserve">Märkusest tulenevalt on KAVS § 50 lõike 3 sõnastust täiendatud selliselt, et see sätestab teabe kontrollimise kohustuse </w:t>
            </w:r>
            <w:r w:rsidR="002775EA" w:rsidRPr="001D1730">
              <w:rPr>
                <w:i/>
                <w:iCs/>
              </w:rPr>
              <w:t>asjakohaselt</w:t>
            </w:r>
            <w:r w:rsidR="002775EA">
              <w:t xml:space="preserve">. </w:t>
            </w:r>
            <w:r w:rsidR="00356AFA">
              <w:t xml:space="preserve">Küll aga </w:t>
            </w:r>
            <w:r w:rsidR="00356AFA" w:rsidRPr="001D1730">
              <w:rPr>
                <w:rFonts w:eastAsia="Calibri" w:cs="Calibri"/>
                <w:iCs/>
              </w:rPr>
              <w:t xml:space="preserve">ei ole võimalik KAVS § 50 </w:t>
            </w:r>
            <w:proofErr w:type="spellStart"/>
            <w:r w:rsidR="00356AFA" w:rsidRPr="001D1730">
              <w:rPr>
                <w:rFonts w:eastAsia="Calibri" w:cs="Calibri"/>
                <w:iCs/>
              </w:rPr>
              <w:t>lg-s</w:t>
            </w:r>
            <w:proofErr w:type="spellEnd"/>
            <w:r w:rsidR="00356AFA" w:rsidRPr="001D1730">
              <w:rPr>
                <w:rFonts w:eastAsia="Calibri" w:cs="Calibri"/>
                <w:iCs/>
              </w:rPr>
              <w:t xml:space="preserve"> 3 eraldi sätestada kontrolli ulatust ja meetodeid, kuna selline sõnastus ei ole direktiivi (EL) 2023/2225 artikli 18 lõike 3 teise lõiguga kooskõlas. Vt </w:t>
            </w:r>
            <w:r w:rsidR="005113EA">
              <w:rPr>
                <w:rFonts w:eastAsia="Calibri" w:cs="Calibri"/>
                <w:iCs/>
              </w:rPr>
              <w:t>täpsemaid</w:t>
            </w:r>
            <w:r w:rsidR="00356AFA" w:rsidRPr="001D1730">
              <w:rPr>
                <w:rFonts w:eastAsia="Calibri" w:cs="Calibri"/>
                <w:iCs/>
              </w:rPr>
              <w:t xml:space="preserve"> põhjendusi Pangaliidu </w:t>
            </w:r>
            <w:r w:rsidRPr="001D1730">
              <w:rPr>
                <w:rFonts w:eastAsia="Calibri" w:cs="Calibri"/>
                <w:iCs/>
              </w:rPr>
              <w:t xml:space="preserve">märkus </w:t>
            </w:r>
            <w:r w:rsidR="00384A85">
              <w:rPr>
                <w:rFonts w:eastAsia="Calibri" w:cs="Calibri"/>
                <w:iCs/>
              </w:rPr>
              <w:t>29</w:t>
            </w:r>
            <w:r w:rsidRPr="001D1730">
              <w:rPr>
                <w:rFonts w:eastAsia="Calibri" w:cs="Calibri"/>
                <w:iCs/>
              </w:rPr>
              <w:t xml:space="preserve"> vastusest. </w:t>
            </w:r>
          </w:p>
          <w:p w14:paraId="6772EB9E" w14:textId="04208AFF" w:rsidR="001D1730" w:rsidRDefault="001D1730" w:rsidP="001D1730">
            <w:r>
              <w:t xml:space="preserve">(ii ) </w:t>
            </w:r>
            <w:r w:rsidR="00C97CEB">
              <w:t>Hindamistoimingute proportsionaalsuse põhimõte tuleneb juba eelmisest tarbijakrediidi direktiivist</w:t>
            </w:r>
            <w:r w:rsidR="00B83E7C">
              <w:t xml:space="preserve"> 2008/</w:t>
            </w:r>
            <w:r w:rsidR="007C2C9E">
              <w:t>48/EÜ</w:t>
            </w:r>
            <w:r w:rsidR="00C97CEB">
              <w:t xml:space="preserve">. </w:t>
            </w:r>
            <w:r w:rsidR="002C6963">
              <w:t xml:space="preserve">Selle rakendamiseks ei ole </w:t>
            </w:r>
            <w:r w:rsidR="005C62D9">
              <w:t xml:space="preserve">võimalik ette anda </w:t>
            </w:r>
            <w:r w:rsidR="009E0C0A">
              <w:t xml:space="preserve">ühest juhist, kuna </w:t>
            </w:r>
            <w:r w:rsidR="00697C80">
              <w:t xml:space="preserve">see võib olla sõltuv konkreetsest tarbijast ja taotletavast krediidist. </w:t>
            </w:r>
            <w:r w:rsidR="00B13A7F">
              <w:t xml:space="preserve">Küll aga on seletuskirja lisatud üldisem näide antud põhimõtte ilmestamiseks. </w:t>
            </w:r>
          </w:p>
          <w:p w14:paraId="2D58A553" w14:textId="78630BF6" w:rsidR="000179B5" w:rsidRDefault="00345060" w:rsidP="00A8561F">
            <w:r>
              <w:t xml:space="preserve">(iii) </w:t>
            </w:r>
            <w:r w:rsidR="00A8561F">
              <w:t xml:space="preserve">Vastav selgitus on lisatud eelnõu seletuskirja. </w:t>
            </w:r>
          </w:p>
        </w:tc>
      </w:tr>
      <w:tr w:rsidR="00D22FD2" w14:paraId="0545C27F" w14:textId="77777777" w:rsidTr="00617FBE">
        <w:tc>
          <w:tcPr>
            <w:tcW w:w="576" w:type="dxa"/>
          </w:tcPr>
          <w:p w14:paraId="5BC57264" w14:textId="1F9789DF" w:rsidR="000179B5" w:rsidRDefault="00384A85" w:rsidP="000179B5">
            <w:pPr>
              <w:jc w:val="center"/>
            </w:pPr>
            <w:r>
              <w:t>28</w:t>
            </w:r>
          </w:p>
        </w:tc>
        <w:tc>
          <w:tcPr>
            <w:tcW w:w="5040" w:type="dxa"/>
          </w:tcPr>
          <w:p w14:paraId="40C25AFE" w14:textId="26DA0ED2" w:rsidR="000179B5" w:rsidRPr="00B618EA" w:rsidRDefault="00B618EA" w:rsidP="00B618EA">
            <w:pPr>
              <w:rPr>
                <w:bCs/>
              </w:rPr>
            </w:pPr>
            <w:r>
              <w:rPr>
                <w:rFonts w:eastAsia="Calibri"/>
                <w:bCs/>
              </w:rPr>
              <w:t>E</w:t>
            </w:r>
            <w:r w:rsidR="000179B5" w:rsidRPr="00B618EA">
              <w:rPr>
                <w:rFonts w:eastAsia="Calibri"/>
                <w:bCs/>
              </w:rPr>
              <w:t>ttepanek tunnistada KAVS § 50 lg 4 kehtetuks</w:t>
            </w:r>
            <w:r w:rsidR="000179B5" w:rsidRPr="00B618EA">
              <w:rPr>
                <w:bCs/>
              </w:rPr>
              <w:t xml:space="preserve">, kuna direktiivist tulenev kontrollikohustus on juba kaetud § 50 </w:t>
            </w:r>
            <w:proofErr w:type="spellStart"/>
            <w:r w:rsidR="000179B5" w:rsidRPr="00B618EA">
              <w:rPr>
                <w:bCs/>
              </w:rPr>
              <w:t>lg-ga</w:t>
            </w:r>
            <w:proofErr w:type="spellEnd"/>
            <w:r w:rsidR="000179B5" w:rsidRPr="00B618EA">
              <w:rPr>
                <w:bCs/>
              </w:rPr>
              <w:t xml:space="preserve"> 3, lõige 4 läheb direktiivi nõuetest kaugemale, säte tekitab praktikas õiguslikku ebaselgust ja tõendamiskoormuse põhjendamatut suurenemist ning võib viia </w:t>
            </w:r>
            <w:proofErr w:type="spellStart"/>
            <w:r w:rsidR="000179B5" w:rsidRPr="00B618EA">
              <w:rPr>
                <w:bCs/>
              </w:rPr>
              <w:t>ülereguleerimiseni</w:t>
            </w:r>
            <w:proofErr w:type="spellEnd"/>
            <w:r w:rsidR="000179B5" w:rsidRPr="00B618EA">
              <w:rPr>
                <w:bCs/>
              </w:rPr>
              <w:t xml:space="preserve"> võrreldes teiste liikmesriikidega.  </w:t>
            </w:r>
          </w:p>
        </w:tc>
        <w:tc>
          <w:tcPr>
            <w:tcW w:w="5016" w:type="dxa"/>
          </w:tcPr>
          <w:p w14:paraId="797F1B6E" w14:textId="4088CDBD" w:rsidR="009239B7" w:rsidRPr="00100BD6" w:rsidRDefault="009239B7" w:rsidP="009239B7">
            <w:pPr>
              <w:rPr>
                <w:b/>
                <w:bCs/>
              </w:rPr>
            </w:pPr>
            <w:r w:rsidRPr="00100BD6">
              <w:rPr>
                <w:b/>
                <w:bCs/>
              </w:rPr>
              <w:t xml:space="preserve">Mittearvestatud / Selgitatud. </w:t>
            </w:r>
          </w:p>
          <w:p w14:paraId="6A0D7AF2" w14:textId="6807936F" w:rsidR="00C60134" w:rsidRDefault="006900C7" w:rsidP="009239B7">
            <w:r>
              <w:t xml:space="preserve">KAVS § 50 lg 4 seletuskirja kohaselt </w:t>
            </w:r>
            <w:r w:rsidR="00F01B60">
              <w:t>o</w:t>
            </w:r>
            <w:r w:rsidR="00F01B60" w:rsidRPr="00F01B60">
              <w:t xml:space="preserve">n üheks maksevõime kontrollimise allikaks konto väljavõte ning krediidivõimelisuse hindajal tuleb võimalusel seda ka tarbijalt küsida. Kui tarbija vastavat väljavõtet ei esita, tuleb hindajal veenduda, et krediidivõimelisuse hindamine muude allikate alusel on võimalik ja piisav. Kui krediidiandja või -vahendaja </w:t>
            </w:r>
            <w:proofErr w:type="spellStart"/>
            <w:r w:rsidR="00F01B60" w:rsidRPr="00F01B60">
              <w:t>sise</w:t>
            </w:r>
            <w:proofErr w:type="spellEnd"/>
            <w:r w:rsidR="00F01B60" w:rsidRPr="00F01B60">
              <w:t>-eeskirjas on krediidivõimelisuse hindamise metoodikas välja toodud, kuidas kogutakse tarbija kohta info muudest allikatest nii, et see on piisav, ei ole kohustuslik ka väljavõtet küsida. Kui hindamiseks on küsitud väljavõte, kui tarbija keeldub selle esitamisest, on hindaja kohustus tõendada, et muude allikate alusel tarbija krediidivõime hindamine annab selleks piisavad alused.</w:t>
            </w:r>
            <w:r w:rsidR="00B02B74">
              <w:t xml:space="preserve"> Eeltoodust tulenevalt ei ole tarbi</w:t>
            </w:r>
            <w:r w:rsidR="009036F8">
              <w:t xml:space="preserve">ja konto väljavõtte küsimine igal korral kohustuslik, aga kui see juba olemas on, tuleb seda maksevõime hindamiseks ka kasutada. </w:t>
            </w:r>
          </w:p>
          <w:p w14:paraId="7B2994FE" w14:textId="125E1FD5" w:rsidR="007A3660" w:rsidRDefault="008C635F" w:rsidP="00336316">
            <w:r>
              <w:t xml:space="preserve">Eelnõu autorid ei nõustu, et KAVS § 50 lg 4 läheb direktiivi (EL) 2023/2225 nõuetest kaugemale. </w:t>
            </w:r>
            <w:r w:rsidR="009D3E51">
              <w:t xml:space="preserve">Eelmise tarbijakrediidi direktiivi osas on Euroopa Kohus leidnud, et </w:t>
            </w:r>
            <w:r w:rsidR="00247ED7">
              <w:t xml:space="preserve">see </w:t>
            </w:r>
            <w:r w:rsidR="00247ED7" w:rsidRPr="00247ED7">
              <w:t>ei loetle ammendavalt andmeid, mille põhjal peab krediidiandja tarbija krediidivõimelisust hindama, ega täpsusta, millisel viisil seda teha tuleb.</w:t>
            </w:r>
            <w:r w:rsidR="00247ED7">
              <w:rPr>
                <w:rStyle w:val="Allmrkuseviide"/>
              </w:rPr>
              <w:footnoteReference w:id="5"/>
            </w:r>
            <w:r w:rsidR="00D14F02">
              <w:t xml:space="preserve"> Sama kehtib ka </w:t>
            </w:r>
            <w:r w:rsidR="00E051E5">
              <w:t>uue tarbijakredi</w:t>
            </w:r>
            <w:r w:rsidR="004C601E">
              <w:t>i</w:t>
            </w:r>
            <w:r w:rsidR="00E051E5">
              <w:t xml:space="preserve">di direktiivi kohta. </w:t>
            </w:r>
            <w:r w:rsidR="00FB1B41">
              <w:t>Kuna tegemist on lahtise loeteluga, on Euroopa Komisjon kinnitanud, et liikmesriigid saavad</w:t>
            </w:r>
            <w:r w:rsidR="00355947">
              <w:t xml:space="preserve"> täpsustada, milline </w:t>
            </w:r>
            <w:r w:rsidR="005F6095">
              <w:t>võib olla</w:t>
            </w:r>
            <w:r w:rsidR="00355947">
              <w:t xml:space="preserve"> krediidivõimelisuse hindamiseks kasutatav vajalik ja proportsionaalne teave. </w:t>
            </w:r>
            <w:r w:rsidR="00C96C9B">
              <w:t>Lii</w:t>
            </w:r>
            <w:r w:rsidR="5F76832E">
              <w:t>k</w:t>
            </w:r>
            <w:r w:rsidR="00C96C9B">
              <w:t>mesriigi kitsendusi saab omakorda kinnitada või ümber lükata Euroopa Kohus</w:t>
            </w:r>
            <w:r w:rsidR="00336316">
              <w:t>.</w:t>
            </w:r>
            <w:r w:rsidR="00006F97">
              <w:t xml:space="preserve"> </w:t>
            </w:r>
            <w:r w:rsidR="006F4EE7">
              <w:t xml:space="preserve">Eelnõu autorid leiavad, et kuna konto väljavõtte küsimine ei ole absoluutne kohustus ja krediidiandja saab hinnata, kas krediidivõimelisust on võimalik hinnata ka muu </w:t>
            </w:r>
            <w:r w:rsidR="005C3EDE">
              <w:t xml:space="preserve">teabe alusel, on KAVS § 50 lg 4 kooskõlas </w:t>
            </w:r>
            <w:r w:rsidR="00702740">
              <w:t xml:space="preserve">direktiivi (EL) 2023/2225 eesmärkidega ning ei lähe selle regulatsioonist kaugemale. </w:t>
            </w:r>
            <w:r w:rsidR="007A3660">
              <w:t xml:space="preserve"> </w:t>
            </w:r>
          </w:p>
        </w:tc>
      </w:tr>
      <w:tr w:rsidR="00D22FD2" w14:paraId="0F9643F2" w14:textId="77777777" w:rsidTr="00617FBE">
        <w:tc>
          <w:tcPr>
            <w:tcW w:w="576" w:type="dxa"/>
          </w:tcPr>
          <w:p w14:paraId="60433D1B" w14:textId="37FE2963" w:rsidR="000179B5" w:rsidRDefault="00384A85" w:rsidP="000179B5">
            <w:pPr>
              <w:jc w:val="center"/>
            </w:pPr>
            <w:r>
              <w:lastRenderedPageBreak/>
              <w:t>29</w:t>
            </w:r>
          </w:p>
        </w:tc>
        <w:tc>
          <w:tcPr>
            <w:tcW w:w="5040" w:type="dxa"/>
          </w:tcPr>
          <w:p w14:paraId="203AB400" w14:textId="5802C633" w:rsidR="000179B5" w:rsidRPr="00412371" w:rsidRDefault="00336316" w:rsidP="000179B5">
            <w:r>
              <w:t>E</w:t>
            </w:r>
            <w:r w:rsidR="000179B5" w:rsidRPr="00412371">
              <w:t>ttepanek õigusselguse tagamiseks seletuskirjas selgesõnaliselt kinnitada, et KAVS § 50</w:t>
            </w:r>
            <w:r w:rsidR="000179B5" w:rsidRPr="00412371">
              <w:rPr>
                <w:rFonts w:eastAsia="Calibri"/>
                <w:vertAlign w:val="superscript"/>
              </w:rPr>
              <w:t>3</w:t>
            </w:r>
            <w:r w:rsidR="000179B5" w:rsidRPr="00412371">
              <w:t xml:space="preserve"> ei piira krediidivõimelisuse hindamise läbiviimist riskipõhiselt ega krediidiandja õigust kujundada oma krediidipoliitikat objektiivsete ja proportsionaalsete riskikriteeriumide alusel. Elukoha või piiriülese olukorraga seotud erinev kohtlemine ei ole käsitatav diskrimineerimisena, kui see põhineb igakülgselt põhjendatud objektiivsetel kriteeriumidel, eelkõige andmete kättesaadavusel, nende usaldusväärsusel ning sissenõudmise teostatavusel. Samuti ei tohiks seda mõista nii, et see paneb krediidiandjatele või krediidivahendajatele kohustuse osutada teenuseid valdkondades või geograafilistes piirkondades, kus nad äritegevusega ei tegele. </w:t>
            </w:r>
          </w:p>
          <w:p w14:paraId="0718160E" w14:textId="77777777" w:rsidR="000179B5" w:rsidRPr="00412371" w:rsidRDefault="000179B5" w:rsidP="000179B5">
            <w:r w:rsidRPr="00412371">
              <w:t xml:space="preserve">Selline täpsustus tagaks kooskõla CCD II süsteemse loogikaga, säilitaks tasakaalu mittediskrimineerimise ja vastutustundliku laenamise vahel ning väldiks </w:t>
            </w:r>
            <w:proofErr w:type="spellStart"/>
            <w:r w:rsidRPr="00412371">
              <w:t>ülereguleerivat</w:t>
            </w:r>
            <w:proofErr w:type="spellEnd"/>
            <w:r w:rsidRPr="00412371">
              <w:t xml:space="preserve"> tõlgendust. </w:t>
            </w:r>
          </w:p>
          <w:p w14:paraId="0E8C0CC7" w14:textId="77777777" w:rsidR="000179B5" w:rsidRDefault="000179B5" w:rsidP="000179B5"/>
        </w:tc>
        <w:tc>
          <w:tcPr>
            <w:tcW w:w="5016" w:type="dxa"/>
          </w:tcPr>
          <w:p w14:paraId="69913B5D" w14:textId="77777777" w:rsidR="002D1200" w:rsidRPr="007807BF" w:rsidRDefault="00B328FE" w:rsidP="00B328FE">
            <w:pPr>
              <w:rPr>
                <w:b/>
                <w:bCs/>
              </w:rPr>
            </w:pPr>
            <w:r w:rsidRPr="007807BF">
              <w:rPr>
                <w:b/>
                <w:bCs/>
              </w:rPr>
              <w:t>Arvestatud.</w:t>
            </w:r>
          </w:p>
          <w:p w14:paraId="569FB948" w14:textId="2135AF0A" w:rsidR="007807BF" w:rsidRDefault="00B328FE" w:rsidP="007807BF">
            <w:pPr>
              <w:ind w:left="-5"/>
            </w:pPr>
            <w:r>
              <w:t xml:space="preserve">Eelnõu seletuskirjas on täpsustatud, et </w:t>
            </w:r>
            <w:r w:rsidR="007807BF">
              <w:t>eelnõuga loodav KAVS § 50</w:t>
            </w:r>
            <w:r w:rsidR="007807BF" w:rsidRPr="625AB841">
              <w:rPr>
                <w:vertAlign w:val="superscript"/>
              </w:rPr>
              <w:t>3</w:t>
            </w:r>
            <w:r w:rsidR="007807BF">
              <w:t xml:space="preserve"> ei piira krediidivõimelisuse riskipõhise hindamise läbiviimist ega krediidiandja õigust kujundada enda krediidipoliitikat objektiivsete ja proportsionaalsete riskikriteeriumite alusel. </w:t>
            </w:r>
          </w:p>
          <w:p w14:paraId="2DD2EB36" w14:textId="4893D5D9" w:rsidR="00B328FE" w:rsidRDefault="00B328FE" w:rsidP="00B328FE"/>
        </w:tc>
      </w:tr>
      <w:tr w:rsidR="002A6C9D" w14:paraId="2BCD3E26" w14:textId="77777777" w:rsidTr="00617FBE">
        <w:tc>
          <w:tcPr>
            <w:tcW w:w="10632" w:type="dxa"/>
            <w:gridSpan w:val="3"/>
          </w:tcPr>
          <w:p w14:paraId="1DBE6249" w14:textId="0D8CD9FA" w:rsidR="00910988" w:rsidRPr="00412371" w:rsidRDefault="00F31DDB" w:rsidP="00910988">
            <w:r>
              <w:t>Reklaamiseadus</w:t>
            </w:r>
          </w:p>
        </w:tc>
      </w:tr>
      <w:tr w:rsidR="00D22FD2" w14:paraId="04BC22E2" w14:textId="77777777" w:rsidTr="00617FBE">
        <w:tc>
          <w:tcPr>
            <w:tcW w:w="576" w:type="dxa"/>
          </w:tcPr>
          <w:p w14:paraId="4A7B8224" w14:textId="4A881154" w:rsidR="00D265C8" w:rsidRDefault="00F31DDB" w:rsidP="000179B5">
            <w:pPr>
              <w:jc w:val="center"/>
            </w:pPr>
            <w:r>
              <w:t>30</w:t>
            </w:r>
          </w:p>
        </w:tc>
        <w:tc>
          <w:tcPr>
            <w:tcW w:w="5040" w:type="dxa"/>
          </w:tcPr>
          <w:p w14:paraId="7F3C7325" w14:textId="1631FCC9" w:rsidR="00D265C8" w:rsidRPr="00412371" w:rsidRDefault="00F13D3F" w:rsidP="00910988">
            <w:r w:rsidRPr="00F13D3F">
              <w:t xml:space="preserve">Turuosalised on viimase 3-4 aasta jooksul aktiivselt osalenud reklaamiseaduse (edaspidi: </w:t>
            </w:r>
            <w:proofErr w:type="spellStart"/>
            <w:r w:rsidRPr="00F13D3F">
              <w:t>RekS</w:t>
            </w:r>
            <w:proofErr w:type="spellEnd"/>
            <w:r w:rsidRPr="00F13D3F">
              <w:t>) aruteludes ning andnud korduvalt sisulist tagasisidet kehtiva regulatsiooni</w:t>
            </w:r>
            <w:r w:rsidR="0064694F">
              <w:t xml:space="preserve"> </w:t>
            </w:r>
            <w:r w:rsidR="0064694F" w:rsidRPr="0064694F">
              <w:t xml:space="preserve">probleemkohtadele. Meie selge ootus on, et reklaamiseadusele lähenetakse terviklikult, mitte üksikute sätete kaupa täiendades. Kehtiv regulatsioon on ajale jalgu jäänud, see on killustunud, raskesti rakendatav ning sisaldab mitmeid </w:t>
            </w:r>
            <w:proofErr w:type="spellStart"/>
            <w:r w:rsidR="0064694F" w:rsidRPr="0064694F">
              <w:t>ülereguleerimise</w:t>
            </w:r>
            <w:proofErr w:type="spellEnd"/>
            <w:r w:rsidR="0064694F" w:rsidRPr="0064694F">
              <w:t xml:space="preserve"> tunnuseid. Uute piirangute lisamine ilma olemasolevat raamistikku tervikuna üle vaatamata ei paranda regulatsiooni kvaliteeti, vaid suurendab õigusselgusetust ja täitmiskoormust</w:t>
            </w:r>
          </w:p>
        </w:tc>
        <w:tc>
          <w:tcPr>
            <w:tcW w:w="5016" w:type="dxa"/>
          </w:tcPr>
          <w:p w14:paraId="61644004" w14:textId="77777777" w:rsidR="00F31DDB" w:rsidRDefault="00BF428E" w:rsidP="00BF428E">
            <w:pPr>
              <w:rPr>
                <w:b/>
                <w:bCs/>
              </w:rPr>
            </w:pPr>
            <w:r w:rsidRPr="00BF428E">
              <w:rPr>
                <w:b/>
                <w:bCs/>
              </w:rPr>
              <w:t>Selgitatud</w:t>
            </w:r>
            <w:r w:rsidR="00F31DDB">
              <w:rPr>
                <w:b/>
                <w:bCs/>
              </w:rPr>
              <w:t>.</w:t>
            </w:r>
          </w:p>
          <w:p w14:paraId="4D1A4B00" w14:textId="0B4B435F" w:rsidR="00D265C8" w:rsidRPr="00412371" w:rsidRDefault="00BF428E" w:rsidP="00BF428E">
            <w:r w:rsidRPr="00BF428E">
              <w:t>Märkus puudutab reklaamiseaduse § 29 tervikregulatsiooni. Käesolev eelnõu on piiratud direktiivi (EL) 2023/2225 ülevõtmisest tulenevate</w:t>
            </w:r>
            <w:r w:rsidR="00024F93" w:rsidRPr="00024F93">
              <w:t xml:space="preserve"> muudatustega ning selle raames ei käsitleta reklaamiseaduse terviklikku ümberkujundamist. Eelnõuga tehakse direktiivist tulenevad vajalikud täpsustused, eelkõige § 29 kohaldamise ja teabe esitamise nõuete osas.</w:t>
            </w:r>
          </w:p>
        </w:tc>
      </w:tr>
      <w:tr w:rsidR="00D22FD2" w14:paraId="6298AAE4" w14:textId="77777777" w:rsidTr="00617FBE">
        <w:tc>
          <w:tcPr>
            <w:tcW w:w="576" w:type="dxa"/>
          </w:tcPr>
          <w:p w14:paraId="0C785C07" w14:textId="406623AF" w:rsidR="00024F93" w:rsidRDefault="00F31DDB" w:rsidP="000179B5">
            <w:pPr>
              <w:jc w:val="center"/>
            </w:pPr>
            <w:r>
              <w:t>31</w:t>
            </w:r>
          </w:p>
        </w:tc>
        <w:tc>
          <w:tcPr>
            <w:tcW w:w="5040" w:type="dxa"/>
          </w:tcPr>
          <w:p w14:paraId="006F2B46" w14:textId="095CE916" w:rsidR="00024F93" w:rsidRPr="00F13D3F" w:rsidRDefault="00CB48CF" w:rsidP="00910988">
            <w:proofErr w:type="spellStart"/>
            <w:r w:rsidRPr="00CB48CF">
              <w:t>RekS</w:t>
            </w:r>
            <w:proofErr w:type="spellEnd"/>
            <w:r w:rsidRPr="00CB48CF">
              <w:t xml:space="preserve"> § 29 lg 3¹, lg 8, lg 8¹</w:t>
            </w:r>
            <w:r>
              <w:t xml:space="preserve"> - </w:t>
            </w:r>
            <w:r w:rsidR="00F40A17">
              <w:t>k</w:t>
            </w:r>
            <w:r w:rsidR="00F40A17" w:rsidRPr="00F40A17">
              <w:t xml:space="preserve">ehtiv </w:t>
            </w:r>
            <w:proofErr w:type="spellStart"/>
            <w:r w:rsidR="00F40A17" w:rsidRPr="00F40A17">
              <w:t>RekS</w:t>
            </w:r>
            <w:proofErr w:type="spellEnd"/>
            <w:r w:rsidR="00F40A17" w:rsidRPr="00F40A17">
              <w:t xml:space="preserve"> ei arvesta piisavalt digitaalse keskkonna toimimisloogikaga. Reklaam toimub valdavalt piiratud formaadiga kanalites, kus tähemärkide arv, visuaalne ruum ja tehnilised lahendused on piiratud. Samal ajal eeldab regulatsioon mahuka kohustusliku teabe esitamist ka sellistes kanalites. Praktikas tekitab see olukorra, kus nõuded on formaalselt täitmiseks keerulised või ebarealistlikud ning ei pruugi tegelikult parandada tarbija arusaamist. Seletuskirjas viidatud järelevalvepraktika, sh rikkumiste suur osakaal piiratud formaadiga digikanalites kinnitab, et probleem ei seisne </w:t>
            </w:r>
            <w:r w:rsidR="00F40A17" w:rsidRPr="00F40A17">
              <w:lastRenderedPageBreak/>
              <w:t>üksnes turuosaliste käitumises, vaid regulatsiooni ja tehnilise keskkonna omavahelises vastuolus.</w:t>
            </w:r>
          </w:p>
        </w:tc>
        <w:tc>
          <w:tcPr>
            <w:tcW w:w="5016" w:type="dxa"/>
          </w:tcPr>
          <w:p w14:paraId="6F32B896" w14:textId="77777777" w:rsidR="00F31DDB" w:rsidRDefault="001D0A12" w:rsidP="00BF428E">
            <w:pPr>
              <w:rPr>
                <w:b/>
                <w:bCs/>
              </w:rPr>
            </w:pPr>
            <w:r w:rsidRPr="001D0A12">
              <w:rPr>
                <w:b/>
                <w:bCs/>
              </w:rPr>
              <w:lastRenderedPageBreak/>
              <w:t>Arvestatud osaliselt.</w:t>
            </w:r>
          </w:p>
          <w:p w14:paraId="43DBCEC8" w14:textId="5B232AED" w:rsidR="00024F93" w:rsidRPr="00BF428E" w:rsidRDefault="001D0A12" w:rsidP="00BF428E">
            <w:pPr>
              <w:rPr>
                <w:b/>
                <w:bCs/>
              </w:rPr>
            </w:pPr>
            <w:r w:rsidRPr="001D0A12">
              <w:t xml:space="preserve">Eelnõus on arvestatud digikeskkonna eripäradega </w:t>
            </w:r>
            <w:proofErr w:type="spellStart"/>
            <w:r w:rsidRPr="001D0A12">
              <w:t>RekS</w:t>
            </w:r>
            <w:proofErr w:type="spellEnd"/>
            <w:r w:rsidRPr="001D0A12">
              <w:t xml:space="preserve"> § 29 lg 8 ja lg 8¹ kaudu, mis võimaldavad teabe esitamisel arvestada kasutatava andmekandja tehniliste piirangutega. Lisaks täiendatakse seletuskirja </w:t>
            </w:r>
            <w:proofErr w:type="spellStart"/>
            <w:r w:rsidRPr="001D0A12">
              <w:t>RekS</w:t>
            </w:r>
            <w:proofErr w:type="spellEnd"/>
            <w:r w:rsidRPr="001D0A12">
              <w:t xml:space="preserve"> § 29 lg 8 ja lg 8¹ selgituse juures, selgitades digikanalite tehniliste piirangute mõju teabe esitamisele ning millistel juhtudel on põhjendatud teabe osaline kuvamata jätmine.</w:t>
            </w:r>
          </w:p>
        </w:tc>
      </w:tr>
      <w:tr w:rsidR="00D22FD2" w14:paraId="7363021A" w14:textId="77777777" w:rsidTr="00617FBE">
        <w:tc>
          <w:tcPr>
            <w:tcW w:w="576" w:type="dxa"/>
          </w:tcPr>
          <w:p w14:paraId="5BBB4819" w14:textId="4136666A" w:rsidR="003B4D96" w:rsidRDefault="00F31DDB" w:rsidP="000179B5">
            <w:pPr>
              <w:jc w:val="center"/>
            </w:pPr>
            <w:r>
              <w:lastRenderedPageBreak/>
              <w:t>32</w:t>
            </w:r>
          </w:p>
        </w:tc>
        <w:tc>
          <w:tcPr>
            <w:tcW w:w="5040" w:type="dxa"/>
          </w:tcPr>
          <w:p w14:paraId="3AC9D587" w14:textId="7344AB9F" w:rsidR="003B4D96" w:rsidRPr="00CB48CF" w:rsidRDefault="00B728CB" w:rsidP="00910988">
            <w:proofErr w:type="spellStart"/>
            <w:r w:rsidRPr="00B728CB">
              <w:t>RekS</w:t>
            </w:r>
            <w:proofErr w:type="spellEnd"/>
            <w:r w:rsidRPr="00B728CB">
              <w:t xml:space="preserve"> § 29 lg 3, lg 3¹</w:t>
            </w:r>
            <w:r>
              <w:t xml:space="preserve"> - </w:t>
            </w:r>
            <w:r w:rsidR="00E73A93" w:rsidRPr="00E73A93">
              <w:t>Mõistame, et näiteks eelnõuga lisatav hoiatustekst tarbijakrediidi reklaamides („Hoiatus! Laenuvõtmine maksab raha.“)</w:t>
            </w:r>
            <w:r w:rsidR="000522D8">
              <w:t xml:space="preserve"> </w:t>
            </w:r>
            <w:r w:rsidR="000522D8" w:rsidRPr="000522D8">
              <w:t xml:space="preserve">tuleneb otseselt direktiivist ning tuleb riigisisesesse õigusesse üle võtta. Küsimus ei ole aga hoiatuse eesmärgis, vaid selle süsteemses sobitumises olemasolevasse regulatsiooni. Tarbijakrediidi reklaam on Eestis juba praegu tugevalt piiratud ning </w:t>
            </w:r>
            <w:proofErr w:type="spellStart"/>
            <w:r w:rsidR="000522D8" w:rsidRPr="000522D8">
              <w:t>RekS</w:t>
            </w:r>
            <w:proofErr w:type="spellEnd"/>
            <w:r w:rsidR="000522D8" w:rsidRPr="000522D8">
              <w:t xml:space="preserve"> § 29 lõige 3 lubab esitada üksnes seaduses kindlaksmääratud teavet. Täiendavad kirjeldavad või diferentseerivad elemendid on sisuliselt välistatud ning reklaam ei või sisaldada toote atraktiivsust rõhutavaid sõnumeid. Sellises raamistikus tähendab kohustusliku hoiatuse lisandumine, et reklaamides suureneb negatiivse tooniga kohustusliku teabe osakaal, samas kui toote sisuliste omaduste või sihtrühma eripära selgitamise võimalus jääb piiratud.</w:t>
            </w:r>
          </w:p>
        </w:tc>
        <w:tc>
          <w:tcPr>
            <w:tcW w:w="5016" w:type="dxa"/>
          </w:tcPr>
          <w:p w14:paraId="3086929D" w14:textId="77777777" w:rsidR="00F31DDB" w:rsidRDefault="009F3E80" w:rsidP="00BF428E">
            <w:pPr>
              <w:rPr>
                <w:b/>
                <w:bCs/>
              </w:rPr>
            </w:pPr>
            <w:r w:rsidRPr="000A1C85">
              <w:rPr>
                <w:b/>
                <w:bCs/>
              </w:rPr>
              <w:t>Arvestatud osaliselt.</w:t>
            </w:r>
          </w:p>
          <w:p w14:paraId="6C116BD7" w14:textId="2FFDA3ED" w:rsidR="003B4D96" w:rsidRPr="000A1C85" w:rsidRDefault="009F3E80" w:rsidP="00BF428E">
            <w:r w:rsidRPr="000A1C85">
              <w:t xml:space="preserve">Hoiatusteksti lisamise kohustus tuleneb direktiivi (EL) 2023/2225 artiklist 8. Seletuskirja täiendatakse </w:t>
            </w:r>
            <w:proofErr w:type="spellStart"/>
            <w:r w:rsidRPr="000A1C85">
              <w:t>RekS</w:t>
            </w:r>
            <w:proofErr w:type="spellEnd"/>
            <w:r w:rsidRPr="000A1C85">
              <w:t xml:space="preserve"> §</w:t>
            </w:r>
            <w:r w:rsidR="000A1C85" w:rsidRPr="000A1C85">
              <w:t xml:space="preserve"> 29 lg 3 selgituse juures, täpsustades hoiatusteksti eesmärki ning selgitades selle seost kehtivate sisupiirangutega ja tasakaalu tarbijate teavitamise ning reklaami mõistetavuse vahel.</w:t>
            </w:r>
          </w:p>
        </w:tc>
      </w:tr>
      <w:tr w:rsidR="00D22FD2" w14:paraId="58A6010E" w14:textId="77777777" w:rsidTr="00617FBE">
        <w:tc>
          <w:tcPr>
            <w:tcW w:w="576" w:type="dxa"/>
          </w:tcPr>
          <w:p w14:paraId="580D898A" w14:textId="3FFDDAB3" w:rsidR="00B959F1" w:rsidRDefault="00F31DDB" w:rsidP="000179B5">
            <w:pPr>
              <w:jc w:val="center"/>
            </w:pPr>
            <w:r>
              <w:t>33</w:t>
            </w:r>
          </w:p>
        </w:tc>
        <w:tc>
          <w:tcPr>
            <w:tcW w:w="5040" w:type="dxa"/>
          </w:tcPr>
          <w:p w14:paraId="1A6256CA" w14:textId="7AD0BFFB" w:rsidR="00B959F1" w:rsidRPr="00B728CB" w:rsidRDefault="00B959F1" w:rsidP="00910988">
            <w:proofErr w:type="spellStart"/>
            <w:r w:rsidRPr="00B959F1">
              <w:t>RekS</w:t>
            </w:r>
            <w:proofErr w:type="spellEnd"/>
            <w:r w:rsidRPr="00B959F1">
              <w:t xml:space="preserve"> § 29 lg 3</w:t>
            </w:r>
            <w:r>
              <w:t xml:space="preserve"> - </w:t>
            </w:r>
            <w:r w:rsidR="00F02960">
              <w:t>p</w:t>
            </w:r>
            <w:r w:rsidR="00F02960" w:rsidRPr="00F02960">
              <w:t>raktikas on erinevad finantseerimistooted suunatud erinevatele sihtrühmadele ning nende riskiprofiil, kestus, hinnastamismudel ja kasutusotstarve võivad oluliselt erineda. Kehtiv regulatsioon ei võimalda reklaamis selgelt välja tuua, millisele sihtrühmale konkreetne toode on mõeldud või millised on selle eripärad võrreldes teiste finantseerimisvõimalustega. Selline lähenemine ei pruugi toetada informeeritud otsustamist, vaid käsitleb erinevaid tooteid sisuliselt ühtse ja eristamatu kategooriana. Regulatsiooni eesmärk peaks olema tagada tasakaalustatud teave, mis võimaldab tarbijal</w:t>
            </w:r>
            <w:r w:rsidR="00187C4F">
              <w:t xml:space="preserve"> </w:t>
            </w:r>
            <w:r w:rsidR="00187C4F" w:rsidRPr="00187C4F">
              <w:t>mõista nii kohustuse olemust kui ka toote tegelikke tingimusi ja sihtotstarvet.</w:t>
            </w:r>
          </w:p>
        </w:tc>
        <w:tc>
          <w:tcPr>
            <w:tcW w:w="5016" w:type="dxa"/>
          </w:tcPr>
          <w:p w14:paraId="0611FD19" w14:textId="77777777" w:rsidR="00F31DDB" w:rsidRDefault="00B95F20" w:rsidP="00B95F20">
            <w:pPr>
              <w:rPr>
                <w:b/>
                <w:bCs/>
              </w:rPr>
            </w:pPr>
            <w:r w:rsidRPr="00B95F20">
              <w:rPr>
                <w:b/>
                <w:bCs/>
              </w:rPr>
              <w:t>Selgitatud.</w:t>
            </w:r>
          </w:p>
          <w:p w14:paraId="4CC54F86" w14:textId="2CA66233" w:rsidR="00B95F20" w:rsidRPr="00B95F20" w:rsidRDefault="00B95F20" w:rsidP="00B95F20">
            <w:r w:rsidRPr="00B95F20">
              <w:t xml:space="preserve">Märkus puudutab </w:t>
            </w:r>
            <w:proofErr w:type="spellStart"/>
            <w:r w:rsidRPr="00B95F20">
              <w:t>RekS</w:t>
            </w:r>
            <w:proofErr w:type="spellEnd"/>
            <w:r w:rsidRPr="00B95F20">
              <w:t xml:space="preserve"> § 29 lg 3 sisupiirangute kujundamist. Käesoleva eelnõu raames ei muudeta sisupiirangute põhimõtteid ega ulatust, kuna direktiivist (EL) 2023/2225 tulenevalt tuleb tagada standardteabe esitamine ühtsetel alustel.</w:t>
            </w:r>
          </w:p>
          <w:p w14:paraId="49A84D30" w14:textId="41EC2238" w:rsidR="00B959F1" w:rsidRPr="000A1C85" w:rsidRDefault="00B95F20" w:rsidP="00B95F20">
            <w:pPr>
              <w:rPr>
                <w:b/>
                <w:bCs/>
              </w:rPr>
            </w:pPr>
            <w:r w:rsidRPr="00B95F20">
              <w:t xml:space="preserve">Seletuskirja täiendatakse </w:t>
            </w:r>
            <w:proofErr w:type="spellStart"/>
            <w:r w:rsidRPr="00B95F20">
              <w:t>RekS</w:t>
            </w:r>
            <w:proofErr w:type="spellEnd"/>
            <w:r w:rsidRPr="00B95F20">
              <w:t xml:space="preserve"> § 29 lg 3 selgituse juures, rõhutades, et reklaamis esitatav teave peab olema tarbijale arusaadav ning võimaldama teha informeeritud otsus, säilitades samas standardteabe võrreldavuse.</w:t>
            </w:r>
            <w:r>
              <w:rPr>
                <w:b/>
                <w:bCs/>
              </w:rPr>
              <w:t xml:space="preserve"> </w:t>
            </w:r>
          </w:p>
        </w:tc>
      </w:tr>
      <w:tr w:rsidR="00D22FD2" w14:paraId="73E5A9E3" w14:textId="77777777" w:rsidTr="00617FBE">
        <w:tc>
          <w:tcPr>
            <w:tcW w:w="576" w:type="dxa"/>
          </w:tcPr>
          <w:p w14:paraId="1BFCD860" w14:textId="2E0A847B" w:rsidR="007442F6" w:rsidRDefault="00F31DDB" w:rsidP="000179B5">
            <w:pPr>
              <w:jc w:val="center"/>
            </w:pPr>
            <w:r>
              <w:t>34</w:t>
            </w:r>
          </w:p>
        </w:tc>
        <w:tc>
          <w:tcPr>
            <w:tcW w:w="5040" w:type="dxa"/>
          </w:tcPr>
          <w:p w14:paraId="4E059D30" w14:textId="106CEBDB" w:rsidR="007442F6" w:rsidRPr="00B959F1" w:rsidRDefault="007624A2" w:rsidP="00910988">
            <w:proofErr w:type="spellStart"/>
            <w:r w:rsidRPr="007624A2">
              <w:t>RekS</w:t>
            </w:r>
            <w:proofErr w:type="spellEnd"/>
            <w:r w:rsidRPr="007624A2">
              <w:t xml:space="preserve"> § 29 lg 3¹, lg 8, lg 8¹</w:t>
            </w:r>
            <w:r>
              <w:t xml:space="preserve"> - </w:t>
            </w:r>
            <w:r w:rsidR="00DF4D75">
              <w:t>r</w:t>
            </w:r>
            <w:r w:rsidR="00DF4D75" w:rsidRPr="00DF4D75">
              <w:t>eklaamiseadust tuleks ajakohastada nii, et see arvestaks digireklaami tegelikku toimimisloogikat. Piiratud formaadiga kanalites peaks olema võimalik esitada selge ja nähtav hoiatus ning põhiteave, kuid ülejäänud kohustuslik info võiks olla kättesaadav lihtsa ja selge viite kaudu (nt klõpsates). Samal ajal tuleks hinnata, kas kehtivad piirangud võimaldavad reklaamis mõistlikul määral selgitada toote sihtrühma ja eripära, et tarbija saaks aru, mille poolest erinevad finantseerimistooted üksteisest. Uute kohustuste lisamise kõrval tuleks seetõttu üle vaadata ka olemasolevad nõuded, et tagada regulatsiooni tasakaal ja praktiline rakendatavus</w:t>
            </w:r>
          </w:p>
        </w:tc>
        <w:tc>
          <w:tcPr>
            <w:tcW w:w="5016" w:type="dxa"/>
          </w:tcPr>
          <w:p w14:paraId="30C4D3FA" w14:textId="77777777" w:rsidR="00F31DDB" w:rsidRDefault="00451EFF" w:rsidP="00451EFF">
            <w:pPr>
              <w:rPr>
                <w:b/>
                <w:bCs/>
              </w:rPr>
            </w:pPr>
            <w:r w:rsidRPr="00451EFF">
              <w:rPr>
                <w:b/>
                <w:bCs/>
              </w:rPr>
              <w:t>Selgitatud.</w:t>
            </w:r>
          </w:p>
          <w:p w14:paraId="0C1F5181" w14:textId="7AF8AAFE" w:rsidR="00451EFF" w:rsidRPr="00451EFF" w:rsidRDefault="00451EFF" w:rsidP="00451EFF">
            <w:r w:rsidRPr="00451EFF">
              <w:t>Direktiivist (EL) 2023/2225 tulenevalt tuleb standardteave esitada tarbijakrediidi reklaamis ning seda ei ole võimalik asendada üksnes viitega täiendavale teabele.</w:t>
            </w:r>
          </w:p>
          <w:p w14:paraId="288687A0" w14:textId="77777777" w:rsidR="00451EFF" w:rsidRPr="00451EFF" w:rsidRDefault="00451EFF" w:rsidP="00451EFF">
            <w:r w:rsidRPr="00451EFF">
              <w:t xml:space="preserve">Eelnõus on arvestatud digikeskkonna eripäradega </w:t>
            </w:r>
            <w:proofErr w:type="spellStart"/>
            <w:r w:rsidRPr="00451EFF">
              <w:t>RekS</w:t>
            </w:r>
            <w:proofErr w:type="spellEnd"/>
            <w:r w:rsidRPr="00451EFF">
              <w:t xml:space="preserve"> § 29 lg 8 ja lg 8¹ kaudu ning seletuskirja täiendatakse vastavate sätete selgituse juures, täpsustades elektroonilises keskkonnas teabe kättesaadavuse viise (nt klõpsamine, kerimine, </w:t>
            </w:r>
            <w:proofErr w:type="spellStart"/>
            <w:r w:rsidRPr="00451EFF">
              <w:t>ülelibistamine</w:t>
            </w:r>
            <w:proofErr w:type="spellEnd"/>
            <w:r w:rsidRPr="00451EFF">
              <w:t>) ning digikanalite tehniliste piirangute mõju teabe esitamisele.</w:t>
            </w:r>
          </w:p>
          <w:p w14:paraId="486C0AC3" w14:textId="4C0DBCB9" w:rsidR="007442F6" w:rsidRPr="00B95F20" w:rsidRDefault="00451EFF" w:rsidP="00451EFF">
            <w:pPr>
              <w:rPr>
                <w:b/>
                <w:bCs/>
              </w:rPr>
            </w:pPr>
            <w:r w:rsidRPr="00451EFF">
              <w:t xml:space="preserve">Märkuses tõstatatud küsimused seoses tarbijakrediiditoodete eristamise võimaluste ja </w:t>
            </w:r>
            <w:r w:rsidRPr="00451EFF">
              <w:lastRenderedPageBreak/>
              <w:t xml:space="preserve">reklaamiseaduse tervikliku ajakohastamisega puudutavad </w:t>
            </w:r>
            <w:proofErr w:type="spellStart"/>
            <w:r w:rsidRPr="00451EFF">
              <w:t>RekS</w:t>
            </w:r>
            <w:proofErr w:type="spellEnd"/>
            <w:r w:rsidRPr="00451EFF">
              <w:t xml:space="preserve"> § 29 sisupiirangute laiemat kujundamist ning ei kuulu käesoleva eelnõu esemesse.</w:t>
            </w:r>
          </w:p>
        </w:tc>
      </w:tr>
      <w:tr w:rsidR="00D22FD2" w14:paraId="09D61237" w14:textId="77777777" w:rsidTr="00617FBE">
        <w:tc>
          <w:tcPr>
            <w:tcW w:w="576" w:type="dxa"/>
          </w:tcPr>
          <w:p w14:paraId="7A4EA1E9" w14:textId="784B0658" w:rsidR="003541CB" w:rsidRDefault="00F31DDB" w:rsidP="000179B5">
            <w:pPr>
              <w:jc w:val="center"/>
            </w:pPr>
            <w:r>
              <w:lastRenderedPageBreak/>
              <w:t>35</w:t>
            </w:r>
          </w:p>
        </w:tc>
        <w:tc>
          <w:tcPr>
            <w:tcW w:w="5040" w:type="dxa"/>
          </w:tcPr>
          <w:p w14:paraId="35A66F6A" w14:textId="7AC8BA0E" w:rsidR="003541CB" w:rsidRPr="007624A2" w:rsidRDefault="00175D4E" w:rsidP="00910988">
            <w:proofErr w:type="spellStart"/>
            <w:r w:rsidRPr="00175D4E">
              <w:t>RekS</w:t>
            </w:r>
            <w:proofErr w:type="spellEnd"/>
            <w:r w:rsidRPr="00175D4E">
              <w:t xml:space="preserve"> § 29 lg 3, lg 3¹, lg 8, lg 8¹</w:t>
            </w:r>
            <w:r>
              <w:t xml:space="preserve"> - </w:t>
            </w:r>
            <w:r w:rsidR="009C2033">
              <w:t>e</w:t>
            </w:r>
            <w:r w:rsidR="009C2033" w:rsidRPr="009C2033">
              <w:t xml:space="preserve">eltoodust tulenevalt on vajalik finantsteenuste reklaami regulatsiooni terviklik ülevaatamine, mitte üksikute sätete täiendamine. See hõlmab eelkõige tarbijakrediidireklaami sisupiirangute, sh </w:t>
            </w:r>
            <w:proofErr w:type="spellStart"/>
            <w:r w:rsidR="009C2033" w:rsidRPr="009C2033">
              <w:t>RekS</w:t>
            </w:r>
            <w:proofErr w:type="spellEnd"/>
            <w:r w:rsidR="009C2033" w:rsidRPr="009C2033">
              <w:t xml:space="preserve"> § 29 lõike 3, kriitilist ümberhindamist, et võimaldada tasakaalustatud ja sisulist teavet</w:t>
            </w:r>
            <w:r w:rsidR="00A02797" w:rsidRPr="00A02797">
              <w:t xml:space="preserve"> toote sihtrühma ning eripärade kohta. Samuti on põhjendatud kehtestada digikanalitele erisätted, mis arvestavad piiratud formaadi eripära ning võimaldavad kihilise teabe esitamise mudelit</w:t>
            </w:r>
            <w:r w:rsidR="00A02797">
              <w:t xml:space="preserve">. </w:t>
            </w:r>
          </w:p>
        </w:tc>
        <w:tc>
          <w:tcPr>
            <w:tcW w:w="5016" w:type="dxa"/>
          </w:tcPr>
          <w:p w14:paraId="0BD70FA4" w14:textId="7C130E2B" w:rsidR="0093495D" w:rsidRPr="0093495D" w:rsidRDefault="0093495D" w:rsidP="003D118F">
            <w:pPr>
              <w:rPr>
                <w:b/>
                <w:bCs/>
              </w:rPr>
            </w:pPr>
            <w:r w:rsidRPr="0093495D">
              <w:rPr>
                <w:b/>
                <w:bCs/>
              </w:rPr>
              <w:t xml:space="preserve">Arvestatud osaliselt / Selgitatud. </w:t>
            </w:r>
          </w:p>
          <w:p w14:paraId="49F07D7F" w14:textId="77777777" w:rsidR="003D118F" w:rsidRPr="003D118F" w:rsidRDefault="003D118F" w:rsidP="003D118F">
            <w:r w:rsidRPr="003D118F">
              <w:t xml:space="preserve">Eelnõus on arvestatud digikeskkonna eripäradega </w:t>
            </w:r>
            <w:proofErr w:type="spellStart"/>
            <w:r w:rsidRPr="003D118F">
              <w:t>RekS</w:t>
            </w:r>
            <w:proofErr w:type="spellEnd"/>
            <w:r w:rsidRPr="003D118F">
              <w:t xml:space="preserve"> § 29 lg 8 ja lg 8¹ kaudu ning seletuskirja täiendatakse vastavate sätete selgituse juures, täpsustades elektroonilises keskkonnas teabe kättesaadavuse viise (nt klõpsamine, kerimine, </w:t>
            </w:r>
            <w:proofErr w:type="spellStart"/>
            <w:r w:rsidRPr="003D118F">
              <w:t>ülelibistamine</w:t>
            </w:r>
            <w:proofErr w:type="spellEnd"/>
            <w:r w:rsidRPr="003D118F">
              <w:t>) ning digikanalite tehniliste piirangute mõju teabe esitamisele.</w:t>
            </w:r>
          </w:p>
          <w:p w14:paraId="4D0D1471" w14:textId="2A0B60B5" w:rsidR="003541CB" w:rsidRPr="00451EFF" w:rsidRDefault="003D118F" w:rsidP="003D118F">
            <w:pPr>
              <w:rPr>
                <w:b/>
                <w:bCs/>
              </w:rPr>
            </w:pPr>
            <w:r w:rsidRPr="003D118F">
              <w:t xml:space="preserve">Märkuses tõstatatud küsimused seoses tarbijakrediiditoodete eristamise võimaluste ja reklaamiseaduse tervikliku ajakohastamisega puudutavad </w:t>
            </w:r>
            <w:proofErr w:type="spellStart"/>
            <w:r w:rsidRPr="003D118F">
              <w:t>RekS</w:t>
            </w:r>
            <w:proofErr w:type="spellEnd"/>
            <w:r w:rsidRPr="003D118F">
              <w:t xml:space="preserve"> § 29 sisupiirangute laiemat kujundamist ning ei kuulu käesoleva eelnõu esemesse.</w:t>
            </w:r>
          </w:p>
        </w:tc>
      </w:tr>
      <w:tr w:rsidR="002A6C9D" w14:paraId="67381888" w14:textId="77777777" w:rsidTr="00617FBE">
        <w:tc>
          <w:tcPr>
            <w:tcW w:w="10632" w:type="dxa"/>
            <w:gridSpan w:val="3"/>
          </w:tcPr>
          <w:p w14:paraId="7E6441AA" w14:textId="7D9B8CB7" w:rsidR="00203962" w:rsidRPr="003D118F" w:rsidRDefault="00203962" w:rsidP="003D118F">
            <w:r w:rsidRPr="00412371">
              <w:rPr>
                <w:b/>
                <w:bCs/>
              </w:rPr>
              <w:t>Eesti Krediidiandjate Liit</w:t>
            </w:r>
          </w:p>
        </w:tc>
      </w:tr>
      <w:tr w:rsidR="002A6C9D" w14:paraId="372DB7A8" w14:textId="77777777" w:rsidTr="00617FBE">
        <w:tc>
          <w:tcPr>
            <w:tcW w:w="10632" w:type="dxa"/>
            <w:gridSpan w:val="3"/>
          </w:tcPr>
          <w:p w14:paraId="680F89FE" w14:textId="316B6B86" w:rsidR="00203962" w:rsidRPr="003D118F" w:rsidRDefault="00F31DDB" w:rsidP="003D118F">
            <w:r>
              <w:t>Võlaõigusseadus</w:t>
            </w:r>
          </w:p>
        </w:tc>
      </w:tr>
      <w:tr w:rsidR="00D22FD2" w14:paraId="20D55664" w14:textId="77777777" w:rsidTr="00617FBE">
        <w:tc>
          <w:tcPr>
            <w:tcW w:w="576" w:type="dxa"/>
          </w:tcPr>
          <w:p w14:paraId="2BD7B850" w14:textId="0108C8BB" w:rsidR="00203962" w:rsidRDefault="00F31DDB" w:rsidP="000179B5">
            <w:pPr>
              <w:jc w:val="center"/>
            </w:pPr>
            <w:r>
              <w:t>1</w:t>
            </w:r>
          </w:p>
        </w:tc>
        <w:tc>
          <w:tcPr>
            <w:tcW w:w="5040" w:type="dxa"/>
          </w:tcPr>
          <w:p w14:paraId="0DC69415" w14:textId="5443E59F" w:rsidR="00203962" w:rsidRPr="00175D4E" w:rsidRDefault="00B03A3F" w:rsidP="00C576E4">
            <w:r>
              <w:t>VÕS § 403</w:t>
            </w:r>
            <w:r>
              <w:rPr>
                <w:vertAlign w:val="superscript"/>
              </w:rPr>
              <w:t>1</w:t>
            </w:r>
            <w:r>
              <w:t xml:space="preserve"> lg 2 p 20 - </w:t>
            </w:r>
            <w:r w:rsidR="00C576E4">
              <w:t>juhime tähelepanu, et VÕS on seni kasutanud mõistet tagasimaksetabel (vt VÕS § 404 lg 2 p 3, VÕS § 404 lg 2²). Teeme ettepaneku selguse huvides täpsustada, et tagasimaksegraafiku (tagasimaksetabeli) esitamise kohustust ei ole tähtajatute tarbijakrediidilepingute puhul. Nimelt juhul, kui tagasimaksete tähtajad ja ka lepingu lõpptähtaeg ei ole kindlaks määratud, on krediidiandjal võimatu tarbijale tagasimaksete andmeid esitada. Praktikas on vastava täpsustuse puudumine seaduses tekitanud arusaamatusi tarbija ja krediidiandja vahel.</w:t>
            </w:r>
          </w:p>
        </w:tc>
        <w:tc>
          <w:tcPr>
            <w:tcW w:w="5016" w:type="dxa"/>
          </w:tcPr>
          <w:p w14:paraId="1182B7B5" w14:textId="4A04BD0D" w:rsidR="00DA58D4" w:rsidRPr="0067456F" w:rsidRDefault="00196D14" w:rsidP="003D118F">
            <w:pPr>
              <w:rPr>
                <w:b/>
                <w:bCs/>
              </w:rPr>
            </w:pPr>
            <w:r>
              <w:rPr>
                <w:b/>
                <w:bCs/>
              </w:rPr>
              <w:t xml:space="preserve">Arvestatud osaliselt / </w:t>
            </w:r>
            <w:r w:rsidR="0067456F" w:rsidRPr="0067456F">
              <w:rPr>
                <w:b/>
                <w:bCs/>
              </w:rPr>
              <w:t xml:space="preserve">Selgitatud. </w:t>
            </w:r>
          </w:p>
          <w:p w14:paraId="15902EB9" w14:textId="61F21061" w:rsidR="00203962" w:rsidRDefault="00D31874" w:rsidP="003D118F">
            <w:r>
              <w:t>Tagasimaksetabel ja tagasimaksegraafik</w:t>
            </w:r>
            <w:r w:rsidR="00B577A0">
              <w:t xml:space="preserve"> ei ole samad asjad ning ei pruugi ka sisu poolest kattuda. Peamine erinevus on see, et </w:t>
            </w:r>
            <w:r w:rsidR="00D57DF8">
              <w:t>tagasimaksegraafik tuleb esitada lepingueelse teabena, tagasimakse</w:t>
            </w:r>
            <w:r w:rsidR="00BD44BB">
              <w:t xml:space="preserve">tabel </w:t>
            </w:r>
            <w:r w:rsidR="00B31F1F">
              <w:t xml:space="preserve">aga juba </w:t>
            </w:r>
            <w:r w:rsidR="00EE334D">
              <w:t xml:space="preserve">lepingu kestel ja juhul, </w:t>
            </w:r>
            <w:r w:rsidR="00461886">
              <w:t xml:space="preserve">kui tarbija selle saamiseks soovi avaldab. </w:t>
            </w:r>
            <w:r w:rsidR="00A65B42" w:rsidRPr="00A65B42">
              <w:t>Tagasimaksetabelis märgitakse võlgnetavad summad ning selliste summade tagasimaksetähtajad ja -tingimused. Tabelis esitatakse iga üksiku tagasimakse jaotus, näidates krediidi põhisumma tagasimakse, aastase intressimäära alusel arvutatud intressisumma ja lisakulud, kui tarbijalt lisakulude maksmist nõutakse</w:t>
            </w:r>
            <w:r w:rsidR="00A65B42">
              <w:t xml:space="preserve">. </w:t>
            </w:r>
            <w:r w:rsidR="007F1E69">
              <w:t xml:space="preserve">Tagasimaksegraafik </w:t>
            </w:r>
            <w:r w:rsidR="00E71C28" w:rsidRPr="00A0406A">
              <w:t>sisaldab kõiki makseid ja tagasimakseid tarbijakrediidilepingu kestuse jooksul, sealhulgas tarbijakrediidilepinguga üheaegselt pakutava kõrvallepingu alusel tehtavaid makseid ja tagasimakseid, kusjuures kui erinevate asjaolude korral kohaldatakse erinevaid intressimäärasid, põhinevad maksed ja tagasimaksed intressimäära mõistlikul tõusul.</w:t>
            </w:r>
            <w:r w:rsidR="009974AC">
              <w:t xml:space="preserve"> </w:t>
            </w:r>
            <w:r w:rsidR="00A92ADD">
              <w:t xml:space="preserve">Seega põhineb tagasimaksegraafik </w:t>
            </w:r>
            <w:r w:rsidR="00220C7F">
              <w:t>rohke</w:t>
            </w:r>
            <w:r w:rsidR="00E82784">
              <w:t xml:space="preserve">m prognoosidel, kuna lepingueelse teabe esitamise ajaks </w:t>
            </w:r>
            <w:r w:rsidR="008764CF">
              <w:t xml:space="preserve">ei pruugi olla </w:t>
            </w:r>
            <w:r w:rsidR="00741E7C">
              <w:t>teada tarbija kindlustuslepingu (ja seega ka maksete suuruse) valik ning samuti peab (erinevalt tagasimaksetabelist) graafikus kujutama ka intressimäära mõistlikku tõusu. Seega, kuna nende kahe vahel esineb sisulisi erin</w:t>
            </w:r>
            <w:r w:rsidR="00BE36D9">
              <w:t xml:space="preserve">evusi, on nende </w:t>
            </w:r>
            <w:r w:rsidR="00BE36D9">
              <w:lastRenderedPageBreak/>
              <w:t xml:space="preserve">selgeks eristamiseks mõistlik kasutada ka </w:t>
            </w:r>
            <w:r w:rsidR="00013F50">
              <w:t xml:space="preserve">teistsuguseid mõisteid. </w:t>
            </w:r>
          </w:p>
          <w:p w14:paraId="162B93E4" w14:textId="5EBA6790" w:rsidR="00013F50" w:rsidRPr="003D118F" w:rsidRDefault="00196D14" w:rsidP="003D118F">
            <w:r>
              <w:t xml:space="preserve">Eelnõu seletuskirja on lisatud täpsustus, et </w:t>
            </w:r>
            <w:r w:rsidR="00680202">
              <w:t xml:space="preserve">tagasimaksegraafikut ei pea lisama tähtajatu tarbijakrediidilepingu sõlmimisel. </w:t>
            </w:r>
          </w:p>
        </w:tc>
      </w:tr>
      <w:tr w:rsidR="00D22FD2" w14:paraId="1050295B" w14:textId="77777777" w:rsidTr="00617FBE">
        <w:tc>
          <w:tcPr>
            <w:tcW w:w="576" w:type="dxa"/>
          </w:tcPr>
          <w:p w14:paraId="6A57189B" w14:textId="78E66295" w:rsidR="007F7F98" w:rsidRDefault="00FB37C0" w:rsidP="000179B5">
            <w:pPr>
              <w:jc w:val="center"/>
            </w:pPr>
            <w:r>
              <w:lastRenderedPageBreak/>
              <w:t>2</w:t>
            </w:r>
          </w:p>
        </w:tc>
        <w:tc>
          <w:tcPr>
            <w:tcW w:w="5040" w:type="dxa"/>
          </w:tcPr>
          <w:p w14:paraId="48634881" w14:textId="4C81804F" w:rsidR="00F2773E" w:rsidRDefault="007F7F98" w:rsidP="00F2773E">
            <w:r>
              <w:t xml:space="preserve">VÕS § </w:t>
            </w:r>
            <w:r w:rsidR="007C5E70">
              <w:t>403</w:t>
            </w:r>
            <w:r w:rsidR="007C5E70">
              <w:rPr>
                <w:vertAlign w:val="superscript"/>
              </w:rPr>
              <w:t>4</w:t>
            </w:r>
            <w:r w:rsidR="007C5E70">
              <w:t xml:space="preserve"> </w:t>
            </w:r>
            <w:r w:rsidR="00F2773E">
              <w:t xml:space="preserve">lg 14 - eelnõusse planeeritud lg 14 sõnastus ei ole aga täpses kooskõlas artikli 18 lõikega 7. </w:t>
            </w:r>
          </w:p>
          <w:p w14:paraId="58366387" w14:textId="6974226A" w:rsidR="00F2773E" w:rsidRPr="00F2773E" w:rsidRDefault="00F2773E" w:rsidP="00F2773E">
            <w:pPr>
              <w:rPr>
                <w:vertAlign w:val="superscript"/>
              </w:rPr>
            </w:pPr>
            <w:r>
              <w:t>Direktiivi art 18 lg 7 sätestab: „Liikmesriigid tagavad, et kui krediidiandja sõlmib tarbijaga krediidilepingu, ei tühista ega muuda krediidiandja hiljem seda krediidilepingut tarbija kahjuks põhjendusel, et krediidivõimelisust ei hinnatud õigesti. Käesolevat lõiget ei kohaldata juhul, kui tõendatakse, et tarbija jättis lõikes 3 osutatud teabe krediidiandjale teadlikult esitamata või esitas võltsitud teabe.“ Eelnõuga planeeritav § 403</w:t>
            </w:r>
            <w:r>
              <w:rPr>
                <w:vertAlign w:val="superscript"/>
              </w:rPr>
              <w:t xml:space="preserve">4 </w:t>
            </w:r>
            <w:r>
              <w:t xml:space="preserve">lg 14 sätestab: „Krediidiandjal ei ole õigust tarbijakrediidilepingut tarbija kahjuks muuta põhjusel, et tarbija krediidivõimelisust ei hinnatud õigesti, välja arvatud juhul, </w:t>
            </w:r>
            <w:r w:rsidRPr="00F2773E">
              <w:rPr>
                <w:b/>
                <w:bCs/>
                <w:u w:val="single"/>
              </w:rPr>
              <w:t>kui selline võimalus on lepingus ette nähtud</w:t>
            </w:r>
            <w:r>
              <w:t xml:space="preserve"> ja kui krediidiandja ei saanud tarbija krediidivõimelisust õigesti hinnata, sest tarbija jättis teadlikult esitamata käesolevas paragrahvis nimetatud teabe või võltsis krediidiandjale esitatud teavet.“ Rasvaselt ja alla joonituna märgitud osa direktiiv ei sisalda ning sellise täiendava eelduse sätestamine võlaõigusseaduses ei ole meie arvates põhjendatud.</w:t>
            </w:r>
          </w:p>
          <w:p w14:paraId="3FDD929D" w14:textId="0BB4DD5C" w:rsidR="00F2773E" w:rsidRDefault="00F2773E" w:rsidP="00F2773E">
            <w:r>
              <w:t xml:space="preserve">Samuti võib praktikas tekitada probleeme eristamisega, millal on tegemist tarbija teadliku valeandmete esitamisega ja millal tarbija eksimusega, oskamatuse või pealiskaudse suhtumisega (nt ei saa talle antud juhistest aru või ei vaevu neid lugema). Krediidiandjad näevad oma </w:t>
            </w:r>
          </w:p>
          <w:p w14:paraId="2A57CFD2" w14:textId="7C04DC93" w:rsidR="007F7F98" w:rsidRPr="007C5E70" w:rsidRDefault="00F2773E" w:rsidP="00F2773E">
            <w:r>
              <w:t>majandustegevuses massilist andmetega manipuleerimist või andmete läbimõtlematut esitamist eesmärgiga krediit kiirelt kätte saada. Eksitavaid andmeid esitavad tarbijad ei tunneta oma vastutust ning tõendamise osas lasub kogu vastutus ja tõendamiskoormus krediidiandjatel.</w:t>
            </w:r>
          </w:p>
        </w:tc>
        <w:tc>
          <w:tcPr>
            <w:tcW w:w="5016" w:type="dxa"/>
          </w:tcPr>
          <w:p w14:paraId="06DCF8B6" w14:textId="3707088E" w:rsidR="00D276FD" w:rsidRDefault="00505C1B" w:rsidP="003D118F">
            <w:pPr>
              <w:rPr>
                <w:b/>
                <w:bCs/>
              </w:rPr>
            </w:pPr>
            <w:r>
              <w:rPr>
                <w:b/>
                <w:bCs/>
              </w:rPr>
              <w:t>Arvestatud / Selgitatud</w:t>
            </w:r>
          </w:p>
          <w:p w14:paraId="71F05EAA" w14:textId="77777777" w:rsidR="00595947" w:rsidRDefault="00505C1B" w:rsidP="003D118F">
            <w:r>
              <w:t>Tekstiosa „</w:t>
            </w:r>
            <w:r w:rsidRPr="00505C1B">
              <w:t>kui selline võimalus on lepingus ette nähtud</w:t>
            </w:r>
            <w:r>
              <w:t>“ lisamise eesmärk oli rõhutada, et lepingut saab ühepoolset muuta niikuinii ainult siis, kui selline võimalus on ette nähtud. Küll aga vastab tõele, et direktiiv sellist sõnastust ei kasuta. Sellest tulenevalt on eelnõu teksti muudetud ja vastav tekstiosa eemaldatud.</w:t>
            </w:r>
            <w:r w:rsidR="006E682F">
              <w:t xml:space="preserve"> Küll aga jääb tekstiosas väljendatud </w:t>
            </w:r>
            <w:r w:rsidR="00B947AC">
              <w:t xml:space="preserve">põhimõte kehtima ja sellele on viidatud ka eelnõu seletuskirjas. </w:t>
            </w:r>
            <w:r>
              <w:t xml:space="preserve"> </w:t>
            </w:r>
          </w:p>
          <w:p w14:paraId="05CC7925" w14:textId="01501FFB" w:rsidR="006278E8" w:rsidRPr="006278E8" w:rsidRDefault="006278E8" w:rsidP="003D118F">
            <w:r>
              <w:t xml:space="preserve">Tarbija poolt teadlikku valeandmete esitamist </w:t>
            </w:r>
            <w:r w:rsidR="00884516">
              <w:t xml:space="preserve">ja/või eksimusest ebaõige teabe esitamist on käsitletud pikemalt FinanceEstonia märkus </w:t>
            </w:r>
            <w:r w:rsidR="00FB37C0">
              <w:t>15</w:t>
            </w:r>
            <w:r w:rsidR="00884516">
              <w:t xml:space="preserve"> vastuses. </w:t>
            </w:r>
            <w:r w:rsidR="00CF40F2">
              <w:t xml:space="preserve">Taaskord tuleb rõhutada, et </w:t>
            </w:r>
            <w:r w:rsidR="00CF40F2" w:rsidRPr="00CF40F2">
              <w:t>VÕS § 403</w:t>
            </w:r>
            <w:r w:rsidR="00CF40F2">
              <w:rPr>
                <w:vertAlign w:val="superscript"/>
              </w:rPr>
              <w:t>4</w:t>
            </w:r>
            <w:r w:rsidR="00CF40F2">
              <w:t xml:space="preserve"> </w:t>
            </w:r>
            <w:r w:rsidR="00CF40F2" w:rsidRPr="00CF40F2">
              <w:t>lg 14</w:t>
            </w:r>
            <w:r w:rsidR="00CF40F2">
              <w:t xml:space="preserve"> vastab direktiivi artikli 18 lõike 7 sõnastusele ning on seetõttu ka direktiivi eesmärgiga kooskõlas. Kuna tarbija on paratamatult lepingu nõrgem pool, ei saa vastutust eksimuse eest </w:t>
            </w:r>
            <w:r w:rsidR="00EF2C04">
              <w:t>näi</w:t>
            </w:r>
            <w:r w:rsidR="00CF40F2">
              <w:t>t</w:t>
            </w:r>
            <w:r w:rsidR="00EF2C04">
              <w:t>eks</w:t>
            </w:r>
            <w:r w:rsidR="00CF40F2">
              <w:t xml:space="preserve"> krediidandja ebapiisavate juhiste tõttu </w:t>
            </w:r>
            <w:r w:rsidR="00EF2C04">
              <w:t xml:space="preserve">jätta kanda tarbija. </w:t>
            </w:r>
          </w:p>
        </w:tc>
      </w:tr>
      <w:tr w:rsidR="00D22FD2" w14:paraId="2B3F7731" w14:textId="77777777" w:rsidTr="00617FBE">
        <w:tc>
          <w:tcPr>
            <w:tcW w:w="576" w:type="dxa"/>
          </w:tcPr>
          <w:p w14:paraId="3A12462A" w14:textId="678AA2B7" w:rsidR="008E22A7" w:rsidRDefault="00BF56D8" w:rsidP="000179B5">
            <w:pPr>
              <w:jc w:val="center"/>
            </w:pPr>
            <w:r>
              <w:t>3</w:t>
            </w:r>
          </w:p>
        </w:tc>
        <w:tc>
          <w:tcPr>
            <w:tcW w:w="5040" w:type="dxa"/>
          </w:tcPr>
          <w:p w14:paraId="6A1A93FE" w14:textId="36C28E8E" w:rsidR="008E22A7" w:rsidRDefault="007335FD" w:rsidP="00F43048">
            <w:r>
              <w:t xml:space="preserve">VÕS § </w:t>
            </w:r>
            <w:r w:rsidR="008E22A7">
              <w:t>403</w:t>
            </w:r>
            <w:r>
              <w:rPr>
                <w:vertAlign w:val="superscript"/>
              </w:rPr>
              <w:t>4</w:t>
            </w:r>
            <w:r>
              <w:t xml:space="preserve"> </w:t>
            </w:r>
            <w:r w:rsidR="00F43048">
              <w:t>lg</w:t>
            </w:r>
            <w:r w:rsidR="008E22A7">
              <w:t xml:space="preserve"> 9</w:t>
            </w:r>
            <w:r w:rsidR="00F43048">
              <w:t xml:space="preserve"> - lõiget 9 muudetakse selleks, et võtta täpselt üle uue direktiivi artikli 18 lõige 10, milles on ette nähtud, et krediidivõimelisust tuleb hinnata uuesti krediidisumma või ülempiiri märkimisväärse suurenemise korral. Leiame, et see pole hea lahendus, kui seadusesse pannakse sõna „märkimisväärne“ näol määratlemata õigusmõiste, mis vajab igakordset hinnangu </w:t>
            </w:r>
            <w:r w:rsidR="00F43048">
              <w:lastRenderedPageBreak/>
              <w:t xml:space="preserve">andmist. Mõistame, et direktiiv ei ava seda täpsemalt, kuid Eesti seadusandja tasandil võiks selle siiski ära määratleda. </w:t>
            </w:r>
            <w:proofErr w:type="spellStart"/>
            <w:r w:rsidR="00F43048">
              <w:t>EKALi</w:t>
            </w:r>
            <w:proofErr w:type="spellEnd"/>
            <w:r w:rsidR="00F43048">
              <w:t xml:space="preserve"> ettepanek on lisada normi ka selge näitaja, mis määrab ära, millal on tegemist „märkimisväärse“ kredi</w:t>
            </w:r>
            <w:r w:rsidR="00C74D19">
              <w:t>i</w:t>
            </w:r>
            <w:r w:rsidR="00F43048">
              <w:t>disumma või ülempiiri suurenemisega ja millal mitte. EKAL-i ettepanek on sätestada, et märkimisväärne on selline suurenemine, mis moodustab vähemalt 25% (veerand) krediidisummast või ülempiirist.</w:t>
            </w:r>
          </w:p>
        </w:tc>
        <w:tc>
          <w:tcPr>
            <w:tcW w:w="5016" w:type="dxa"/>
          </w:tcPr>
          <w:p w14:paraId="498948F4" w14:textId="4CFA4D4A" w:rsidR="00B3100E" w:rsidRPr="00260357" w:rsidRDefault="00260357" w:rsidP="003D118F">
            <w:pPr>
              <w:rPr>
                <w:b/>
                <w:bCs/>
              </w:rPr>
            </w:pPr>
            <w:r w:rsidRPr="00260357">
              <w:rPr>
                <w:b/>
                <w:bCs/>
              </w:rPr>
              <w:lastRenderedPageBreak/>
              <w:t>Mittearvestatud / Selgitatud.</w:t>
            </w:r>
          </w:p>
          <w:p w14:paraId="18AC7634" w14:textId="48414D86" w:rsidR="008E22A7" w:rsidRPr="003D118F" w:rsidRDefault="004E0D42" w:rsidP="004E0D42">
            <w:r>
              <w:t xml:space="preserve">Muudatus on vajalik direktiivi artikli 18 lg 10 ülevõtmiseks, milles on sõnaselgelt viidatud just krediidisumma või krediidi ülempiiri märkimisväärsele muutmisele. </w:t>
            </w:r>
            <w:r w:rsidR="00FF4E15">
              <w:t>Seega ei ole võimalik seda muul kujul</w:t>
            </w:r>
            <w:r w:rsidR="00822E24">
              <w:t xml:space="preserve"> siseriiklikku õigusesse üle võtta ega ka täpsustada, mida märkimisväärne tõus </w:t>
            </w:r>
            <w:r w:rsidR="00E55D7C">
              <w:t xml:space="preserve">endas kujutab. Nagu märkuses on ka viidatud, </w:t>
            </w:r>
            <w:r w:rsidR="00E55D7C">
              <w:lastRenderedPageBreak/>
              <w:t>on tegemist määratlemata õigusmõistega</w:t>
            </w:r>
            <w:r w:rsidR="005E4198">
              <w:t xml:space="preserve">, </w:t>
            </w:r>
            <w:r w:rsidR="00604BED">
              <w:t xml:space="preserve">mis vajab igakordset </w:t>
            </w:r>
            <w:r w:rsidR="00AC1DA0">
              <w:t>hinnangu andmist.</w:t>
            </w:r>
            <w:r w:rsidR="00E55D7C">
              <w:t xml:space="preserve"> </w:t>
            </w:r>
          </w:p>
        </w:tc>
      </w:tr>
      <w:tr w:rsidR="00D22FD2" w14:paraId="0FF5A883" w14:textId="77777777" w:rsidTr="00617FBE">
        <w:tc>
          <w:tcPr>
            <w:tcW w:w="576" w:type="dxa"/>
          </w:tcPr>
          <w:p w14:paraId="2D41A5D8" w14:textId="4C913AFE" w:rsidR="00F43048" w:rsidRDefault="00BF56D8" w:rsidP="000179B5">
            <w:pPr>
              <w:jc w:val="center"/>
            </w:pPr>
            <w:r>
              <w:lastRenderedPageBreak/>
              <w:t>4</w:t>
            </w:r>
          </w:p>
        </w:tc>
        <w:tc>
          <w:tcPr>
            <w:tcW w:w="5040" w:type="dxa"/>
          </w:tcPr>
          <w:p w14:paraId="6A82B140" w14:textId="77777777" w:rsidR="00E15868" w:rsidRDefault="00A211E0" w:rsidP="00E15868">
            <w:r>
              <w:t xml:space="preserve">VÕS § 404 lg 2 </w:t>
            </w:r>
            <w:r w:rsidR="00E15868">
              <w:t xml:space="preserve">p 15 - Eelnõu seletuskirjas on mainitud järgmist: „Praegu on Eestis võlanõustajate kontaktandmed </w:t>
            </w:r>
          </w:p>
          <w:p w14:paraId="4748BFAF" w14:textId="2B6A30B6" w:rsidR="00E15868" w:rsidRDefault="00E15868" w:rsidP="00E15868">
            <w:r>
              <w:t xml:space="preserve">koondatud minuraha.ee veebiaadressile. Tasuta </w:t>
            </w:r>
            <w:proofErr w:type="spellStart"/>
            <w:r>
              <w:t>võlanõustamisteenust</w:t>
            </w:r>
            <w:proofErr w:type="spellEnd"/>
            <w:r>
              <w:t xml:space="preserve"> osutab ka Töötukassa, aga sel juhul peab olema inimene töötu või saanud koondamisteate. Ei ole kindel, kas tulevikus Töötukassa </w:t>
            </w:r>
            <w:proofErr w:type="spellStart"/>
            <w:r>
              <w:t>võlanõustamisteenuse</w:t>
            </w:r>
            <w:proofErr w:type="spellEnd"/>
            <w:r>
              <w:t xml:space="preserve"> osutamise roll säilib.“</w:t>
            </w:r>
          </w:p>
          <w:p w14:paraId="2640D743" w14:textId="7FAD72A8" w:rsidR="00E15868" w:rsidRDefault="00E15868" w:rsidP="00E15868">
            <w:r>
              <w:t xml:space="preserve">Krediidiandjate praktikas on viidatud ka Eesti Võlanõustajate Liidu veebilehele www.evnl.ee, kuhu on koondatud mh võlanõustajate kontaktid. Kuivõrd eelnõu kohaselt tuleb võlanõustajate kontaktid edaspidi esitada juba tarbija tahteavalduses (sõlmitavas tarbijakrediidilepingus), kus see info on kõrvuti muude oluliste tingimustega, võib ajas muutuda ning vajab eristumiseks nö leheruumi, siis teeme ettepaneku täpsustada eelnõu sõnastust järgmiselt (krediidiandjate hinnangul on piisav, kui viidatakse </w:t>
            </w:r>
            <w:proofErr w:type="spellStart"/>
            <w:r>
              <w:t>võlanõustamisteenuse</w:t>
            </w:r>
            <w:proofErr w:type="spellEnd"/>
            <w:r>
              <w:t xml:space="preserve"> osutajate kontaktandmeid koondavale veebilehele): </w:t>
            </w:r>
          </w:p>
          <w:p w14:paraId="208EFB36" w14:textId="77777777" w:rsidR="00E15868" w:rsidRPr="0088221D" w:rsidRDefault="00E15868" w:rsidP="00E15868">
            <w:pPr>
              <w:rPr>
                <w:i/>
                <w:iCs/>
              </w:rPr>
            </w:pPr>
            <w:r w:rsidRPr="0088221D">
              <w:rPr>
                <w:i/>
                <w:iCs/>
              </w:rPr>
              <w:t xml:space="preserve">15) sotsiaalhoolekande seaduse tähenduses </w:t>
            </w:r>
            <w:proofErr w:type="spellStart"/>
            <w:r w:rsidRPr="0088221D">
              <w:rPr>
                <w:i/>
                <w:iCs/>
              </w:rPr>
              <w:t>võlanõustamisteenuse</w:t>
            </w:r>
            <w:proofErr w:type="spellEnd"/>
            <w:r w:rsidRPr="0088221D">
              <w:rPr>
                <w:i/>
                <w:iCs/>
              </w:rPr>
              <w:t xml:space="preserve"> osutajate kontaktandmeid </w:t>
            </w:r>
          </w:p>
          <w:p w14:paraId="2848003D" w14:textId="77777777" w:rsidR="00E15868" w:rsidRPr="0088221D" w:rsidRDefault="00E15868" w:rsidP="00E15868">
            <w:pPr>
              <w:rPr>
                <w:i/>
                <w:iCs/>
              </w:rPr>
            </w:pPr>
            <w:r w:rsidRPr="0088221D">
              <w:rPr>
                <w:i/>
                <w:iCs/>
              </w:rPr>
              <w:t xml:space="preserve">koondav veebileht ja soovitus tarbijale võtta sellise teenuse osutajaga ühendust makseraskuste </w:t>
            </w:r>
          </w:p>
          <w:p w14:paraId="4A8426D6" w14:textId="7F19F206" w:rsidR="00F43048" w:rsidRDefault="00E15868" w:rsidP="00E15868">
            <w:r w:rsidRPr="0088221D">
              <w:rPr>
                <w:i/>
                <w:iCs/>
              </w:rPr>
              <w:t>korral</w:t>
            </w:r>
            <w:r>
              <w:t>.</w:t>
            </w:r>
          </w:p>
        </w:tc>
        <w:tc>
          <w:tcPr>
            <w:tcW w:w="5016" w:type="dxa"/>
          </w:tcPr>
          <w:p w14:paraId="77AEB093" w14:textId="6162BC40" w:rsidR="00E6310A" w:rsidRPr="00611C58" w:rsidRDefault="00611C58" w:rsidP="003D118F">
            <w:pPr>
              <w:rPr>
                <w:b/>
                <w:bCs/>
              </w:rPr>
            </w:pPr>
            <w:r w:rsidRPr="00611C58">
              <w:rPr>
                <w:b/>
                <w:bCs/>
              </w:rPr>
              <w:t>Arvestatud osaliselt / selgitatud.</w:t>
            </w:r>
          </w:p>
          <w:p w14:paraId="4AD2B1A3" w14:textId="3650FF1D" w:rsidR="00F43048" w:rsidRPr="003D118F" w:rsidRDefault="00611C58" w:rsidP="003D118F">
            <w:r>
              <w:t>Eelnõu seletuskirja on täiendatud sel</w:t>
            </w:r>
            <w:r w:rsidR="005827C9">
              <w:t>g</w:t>
            </w:r>
            <w:r>
              <w:t xml:space="preserve">itusega, et </w:t>
            </w:r>
            <w:r w:rsidR="00C4050E">
              <w:t>v</w:t>
            </w:r>
            <w:r w:rsidR="00C4050E" w:rsidRPr="005C72D5">
              <w:t>õlanõustajate kontaktandmetest teavitamise</w:t>
            </w:r>
            <w:r w:rsidR="00C4050E">
              <w:t xml:space="preserve"> kohustuse võib täita näiteks viitega mõnele usaldusväärsele veebilehele, mis </w:t>
            </w:r>
            <w:r w:rsidR="00C4050E" w:rsidRPr="005C72D5">
              <w:t xml:space="preserve">lepingu sõlmimise </w:t>
            </w:r>
            <w:r w:rsidR="00C4050E">
              <w:t>ajal võlanõustamise ja võlanõustajate infot koondab. Eelnõus säilitatakse aga antud teavitamise kohustuse üldisem sõnastus, kuna see vastab rohkem direktiivile ja iseenesest ei ole keelatud olla võlanõustajatest teavitamisel ka täpsem (nt tuuakse välja tarbija piirkonna järgi kind</w:t>
            </w:r>
            <w:r w:rsidR="005827C9">
              <w:t xml:space="preserve">el nimekiri). </w:t>
            </w:r>
          </w:p>
        </w:tc>
      </w:tr>
      <w:tr w:rsidR="00D22FD2" w14:paraId="04973657" w14:textId="77777777" w:rsidTr="00617FBE">
        <w:tc>
          <w:tcPr>
            <w:tcW w:w="576" w:type="dxa"/>
          </w:tcPr>
          <w:p w14:paraId="725040CC" w14:textId="7A910D6B" w:rsidR="0088221D" w:rsidRDefault="00BF56D8" w:rsidP="000179B5">
            <w:pPr>
              <w:jc w:val="center"/>
            </w:pPr>
            <w:r>
              <w:t>5</w:t>
            </w:r>
          </w:p>
        </w:tc>
        <w:tc>
          <w:tcPr>
            <w:tcW w:w="5040" w:type="dxa"/>
          </w:tcPr>
          <w:p w14:paraId="7448640A" w14:textId="315CC277" w:rsidR="003103E5" w:rsidRDefault="0088221D" w:rsidP="003103E5">
            <w:r>
              <w:t>VÕS § 409 lg 3</w:t>
            </w:r>
            <w:r w:rsidRPr="55CB3681">
              <w:rPr>
                <w:vertAlign w:val="superscript"/>
              </w:rPr>
              <w:t>1</w:t>
            </w:r>
            <w:r>
              <w:t xml:space="preserve"> kehtetuks tunnistamine -</w:t>
            </w:r>
            <w:r w:rsidR="003103E5">
              <w:t xml:space="preserve"> kehtetuks tunnistamine ei ole vajalik ning tekitab segadust olukorras, kui tarbija ei tagasta pärast taganemisavalduse tegemist krediidiandjale VÕS § 409 lg 3 sätestatud summasid. Senine regulatsioon peaks säilima, st sel juhul tuleb lugeda, et tarbija ei ole taganemisavaldust teinud. See on kooskõlas ka direktiivi art 26 lõikega 5, millest tulenevalt on taganemisõiguse kasutamiseks vajalikud mõlemad toimingud – nii taganemisavalduse esitamine (art 26 lg 5a) kui ka krediidi põhiosa ja intressi tasumine 30 päeva jooksul (art 26 lg 5b). Seega ei piira VÕS § 409 </w:t>
            </w:r>
          </w:p>
          <w:p w14:paraId="0BD2CA73" w14:textId="3633D91E" w:rsidR="0088221D" w:rsidRPr="0088221D" w:rsidRDefault="003103E5" w:rsidP="003103E5">
            <w:r>
              <w:lastRenderedPageBreak/>
              <w:t>lg 3¹ direktiiviga ettenähtud taganemisõiguse teostamist, nagu eelnõu seletuskirjas on ekslikult järeldatud. VÕS § 409 lg 3¹ kehtetuks tunnistamisel tekiks hoopis tarbijale kahjulikum olukord, sest tarbija kaotaks võimaluse krediidilepingut jätkata ka juhul, kui ta taganemise osas ümber mõtleb või tal polegi võimalik taganemisega seotud summasid krediidiandjale kohe tagastada. Sellisel juhul jääks ta krediidiandjale kohe võlgu kogu krediidisumma ja kogunenud intressid. Sellise olukorra tekitamine ei ole direktiivi mõtte ega sisuga kooskõlas.</w:t>
            </w:r>
          </w:p>
        </w:tc>
        <w:tc>
          <w:tcPr>
            <w:tcW w:w="5016" w:type="dxa"/>
          </w:tcPr>
          <w:p w14:paraId="22816EBE" w14:textId="16A3D622" w:rsidR="00A55005" w:rsidRPr="00E01D71" w:rsidRDefault="00704C3B" w:rsidP="003D118F">
            <w:pPr>
              <w:rPr>
                <w:b/>
                <w:bCs/>
              </w:rPr>
            </w:pPr>
            <w:r w:rsidRPr="00E01D71">
              <w:rPr>
                <w:b/>
                <w:bCs/>
              </w:rPr>
              <w:lastRenderedPageBreak/>
              <w:t xml:space="preserve">Mittearvestatud / Selgitatud. </w:t>
            </w:r>
          </w:p>
          <w:p w14:paraId="30AD54B3" w14:textId="258F4AB7" w:rsidR="0088221D" w:rsidRPr="003D118F" w:rsidRDefault="00AC3174" w:rsidP="003D118F">
            <w:r>
              <w:t xml:space="preserve">Eelnõu autorid leiavad, et direktiivi artikkel 26 siiski ei võimalda VÕS § </w:t>
            </w:r>
            <w:r w:rsidR="00394268">
              <w:t>409 lg 3</w:t>
            </w:r>
            <w:r w:rsidR="00394268">
              <w:rPr>
                <w:vertAlign w:val="superscript"/>
              </w:rPr>
              <w:t>1</w:t>
            </w:r>
            <w:r w:rsidR="00394268">
              <w:t xml:space="preserve"> jätta alles sellisel kujul, nagu ta kehtivas õiguses esineb. </w:t>
            </w:r>
            <w:r w:rsidR="00A075A2">
              <w:t xml:space="preserve">Täpsemalt ei viita artikkel 26 lg 5 sõnastus sellele, et kui ta krediiti 30 päeva jooksul tagasi ei maksa, siis </w:t>
            </w:r>
            <w:r w:rsidR="00A23EB1">
              <w:t xml:space="preserve">ei saa teda lugeda tarbijakrediidilepingust taganenuks. </w:t>
            </w:r>
            <w:r w:rsidR="00897ED1">
              <w:t xml:space="preserve">Pigem sätestab eelviidatud säte tarbija kohustused olukorras, </w:t>
            </w:r>
            <w:r w:rsidR="00630B65">
              <w:t xml:space="preserve">kus ta on oma taganemisõigust juba kasutanud (st taganemisavalduse esitanud). </w:t>
            </w:r>
            <w:r w:rsidR="000A7598">
              <w:t xml:space="preserve">Need ei ole tingimused taganemisõiguse kasutamiseks. Eelnõu autorid leiavad, et sätte kehtetuks </w:t>
            </w:r>
            <w:r w:rsidR="000A7598">
              <w:lastRenderedPageBreak/>
              <w:t>tunnistamine ei vähenda tarbijakaitse taset</w:t>
            </w:r>
            <w:r w:rsidR="001A4C1B">
              <w:t xml:space="preserve"> – sätte kehtetuks tunnistamine ei välista poolte </w:t>
            </w:r>
            <w:r w:rsidR="002C5297">
              <w:t>võimalust kokku leppida, et taganemisavaldus võetakse tagasi ja pooltevaheline leping jätkub</w:t>
            </w:r>
            <w:r w:rsidR="006F53DA">
              <w:t xml:space="preserve">. </w:t>
            </w:r>
            <w:r w:rsidR="00F50729">
              <w:t xml:space="preserve">Sätte kehtetuks tunnistamisel nõuab see nüüd lihtsalt tarbija sellekohase soovi avaldamist. </w:t>
            </w:r>
            <w:r w:rsidR="001847B0">
              <w:t xml:space="preserve">Vaatamata sellele tuleb aga niikuinii direktiivi täisharmoneeriva iseloomu tõttu tunnistada kehtetuks ka sellised sätted, mis ei ole enam direktiivile vastavad. </w:t>
            </w:r>
          </w:p>
        </w:tc>
      </w:tr>
      <w:tr w:rsidR="002A6C9D" w14:paraId="73E797E7" w14:textId="77777777" w:rsidTr="00617FBE">
        <w:tc>
          <w:tcPr>
            <w:tcW w:w="10632" w:type="dxa"/>
            <w:gridSpan w:val="3"/>
          </w:tcPr>
          <w:p w14:paraId="1C333792" w14:textId="7438A251" w:rsidR="003D118F" w:rsidRPr="003D118F" w:rsidRDefault="00BF56D8" w:rsidP="000179B5">
            <w:pPr>
              <w:jc w:val="left"/>
            </w:pPr>
            <w:r>
              <w:lastRenderedPageBreak/>
              <w:t>Krediidiandjate ja -vahendajate seadus</w:t>
            </w:r>
          </w:p>
        </w:tc>
      </w:tr>
      <w:tr w:rsidR="00D22FD2" w14:paraId="552A0549" w14:textId="77777777" w:rsidTr="00617FBE">
        <w:tc>
          <w:tcPr>
            <w:tcW w:w="576" w:type="dxa"/>
          </w:tcPr>
          <w:p w14:paraId="586D97D1" w14:textId="29BCB856" w:rsidR="000179B5" w:rsidRDefault="00BF56D8" w:rsidP="000179B5">
            <w:pPr>
              <w:jc w:val="center"/>
            </w:pPr>
            <w:r>
              <w:t>6</w:t>
            </w:r>
          </w:p>
        </w:tc>
        <w:tc>
          <w:tcPr>
            <w:tcW w:w="5040" w:type="dxa"/>
          </w:tcPr>
          <w:p w14:paraId="1EE10D22" w14:textId="705B52DB" w:rsidR="000179B5" w:rsidRPr="00412371" w:rsidRDefault="000179B5" w:rsidP="000179B5">
            <w:pPr>
              <w:pStyle w:val="Default"/>
              <w:jc w:val="both"/>
              <w:rPr>
                <w:rFonts w:ascii="Times New Roman" w:hAnsi="Times New Roman" w:cs="Times New Roman"/>
                <w:color w:val="auto"/>
              </w:rPr>
            </w:pPr>
            <w:r w:rsidRPr="00412371">
              <w:rPr>
                <w:rFonts w:ascii="Times New Roman" w:hAnsi="Times New Roman" w:cs="Times New Roman"/>
                <w:color w:val="auto"/>
              </w:rPr>
              <w:t>Seoses KAVS § 53</w:t>
            </w:r>
            <w:r w:rsidR="00366A62">
              <w:rPr>
                <w:rFonts w:ascii="Times New Roman" w:hAnsi="Times New Roman" w:cs="Times New Roman"/>
                <w:color w:val="auto"/>
                <w:vertAlign w:val="superscript"/>
              </w:rPr>
              <w:t>1</w:t>
            </w:r>
            <w:r w:rsidRPr="00412371">
              <w:rPr>
                <w:rFonts w:ascii="Times New Roman" w:hAnsi="Times New Roman" w:cs="Times New Roman"/>
                <w:color w:val="auto"/>
              </w:rPr>
              <w:t xml:space="preserve"> sätestatava diskrimineerimiskeeluga oleks vaja täpsustada, kuidas krediidiandja saab olla selle sättega kooskõlas, kui ta ei soovi väljastada krediiti Eestis mitteelavatele tarbijatele. </w:t>
            </w:r>
          </w:p>
          <w:p w14:paraId="7F6603C4" w14:textId="3AC1934A" w:rsidR="000179B5" w:rsidRDefault="000179B5" w:rsidP="000179B5">
            <w:r w:rsidRPr="00412371">
              <w:t>Seletuskirjas on küll viidatud, et direktiivi põhjenduse 29 viimasest lausest on tuletatav, et krediidiandjatele ei panda kohustust laiendada enda tegevust teistesse liikmesriikidesse, kuid mida see tähendab? Kui krediidiandja pakub oma teenuseid veebis, kas see tähendab siis kohustust aktsepteerida võrdsetel alustel kliendina ka näiteks Hispaanias elavat tarbijat, kuigi krediidiandjal ei ole sellist soovi (rahapesu riskid erinevad, krediidiandja riskiisu ei näe seda ette; samuti ei soovi hakata laenu sisse nõudma tarbija elukohariigis, mis oleks tarbijakrediidi puhul kohustuslik kohtualluvus).</w:t>
            </w:r>
          </w:p>
        </w:tc>
        <w:tc>
          <w:tcPr>
            <w:tcW w:w="5016" w:type="dxa"/>
          </w:tcPr>
          <w:p w14:paraId="09D990F6" w14:textId="4D553317" w:rsidR="008128F0" w:rsidRDefault="008128F0" w:rsidP="3EE41C98">
            <w:pPr>
              <w:rPr>
                <w:b/>
                <w:bCs/>
              </w:rPr>
            </w:pPr>
            <w:r w:rsidRPr="3EE41C98">
              <w:rPr>
                <w:b/>
                <w:bCs/>
              </w:rPr>
              <w:t>Arvestatud / Selgitatud.</w:t>
            </w:r>
          </w:p>
          <w:p w14:paraId="5350607B" w14:textId="5412CF81" w:rsidR="000179B5" w:rsidRDefault="008128F0" w:rsidP="3EE41C98">
            <w:r>
              <w:t xml:space="preserve">Eelnõu seletuskirja on pärast eelnõu kooskõlastamist täiendatud. </w:t>
            </w:r>
            <w:r w:rsidR="2D9682A8">
              <w:t>Mh on sõnaselgelt ja ka näidetega selgitatud seda, et krediidiandjal ei ole kohustust hakat</w:t>
            </w:r>
            <w:r w:rsidR="376B147A">
              <w:t xml:space="preserve">a teenuseid </w:t>
            </w:r>
            <w:r w:rsidR="0199EE34">
              <w:t>pakkuma sellises liikmesriigis, kus ta varasemalt teenuseid pakkunud ei ole.</w:t>
            </w:r>
            <w:r w:rsidR="29B98CF7">
              <w:t xml:space="preserve"> </w:t>
            </w:r>
            <w:r w:rsidR="0199EE34">
              <w:t>Regulatsiooni</w:t>
            </w:r>
            <w:r w:rsidR="40BE7DEB">
              <w:t xml:space="preserve"> mõte </w:t>
            </w:r>
            <w:r w:rsidR="0199EE34">
              <w:t>ei ole</w:t>
            </w:r>
            <w:r w:rsidR="40BE7DEB">
              <w:t xml:space="preserve">, et </w:t>
            </w:r>
            <w:r w:rsidR="0577D5CA">
              <w:t>krediidiandjal oleks</w:t>
            </w:r>
            <w:r w:rsidR="40BE7DEB">
              <w:t xml:space="preserve"> kohustus igal juhul aktsepteerida teiste liikmesriikide tarbijate laenutaotlusi samadel alustel kui krediidiandjal ei ole reaalset huvi teistes riikides tarbijakrediiti väljastada (hoolimata sellest, et </w:t>
            </w:r>
            <w:r w:rsidR="2ABFAC3E">
              <w:t>näiteks</w:t>
            </w:r>
            <w:r w:rsidR="023322D0">
              <w:t xml:space="preserve"> </w:t>
            </w:r>
            <w:r w:rsidR="4FDEFAF8">
              <w:t xml:space="preserve">krediidiandja </w:t>
            </w:r>
            <w:r w:rsidR="023322D0">
              <w:t>veebileht</w:t>
            </w:r>
            <w:r w:rsidR="40BE7DEB">
              <w:t xml:space="preserve"> on kättesaadav üle EL-i).</w:t>
            </w:r>
          </w:p>
          <w:p w14:paraId="07AB640D" w14:textId="55583785" w:rsidR="002664CA" w:rsidRDefault="002664CA" w:rsidP="000179B5">
            <w:pPr>
              <w:jc w:val="center"/>
            </w:pPr>
          </w:p>
        </w:tc>
      </w:tr>
      <w:tr w:rsidR="002A6C9D" w14:paraId="137CC952" w14:textId="77777777" w:rsidTr="00617FBE">
        <w:tc>
          <w:tcPr>
            <w:tcW w:w="10632" w:type="dxa"/>
            <w:gridSpan w:val="3"/>
          </w:tcPr>
          <w:p w14:paraId="1FB590B2" w14:textId="5371C550" w:rsidR="00FC4995" w:rsidRPr="00412371" w:rsidRDefault="00BF56D8" w:rsidP="00FC4995">
            <w:r>
              <w:t>Reklaamiseadus</w:t>
            </w:r>
          </w:p>
        </w:tc>
      </w:tr>
      <w:tr w:rsidR="00D22FD2" w14:paraId="025E48EC" w14:textId="77777777" w:rsidTr="00617FBE">
        <w:tc>
          <w:tcPr>
            <w:tcW w:w="576" w:type="dxa"/>
          </w:tcPr>
          <w:p w14:paraId="4FFE9B21" w14:textId="3BB7FBAE" w:rsidR="00FC4995" w:rsidRDefault="00BF56D8" w:rsidP="000179B5">
            <w:pPr>
              <w:jc w:val="center"/>
            </w:pPr>
            <w:r>
              <w:t>7</w:t>
            </w:r>
          </w:p>
        </w:tc>
        <w:tc>
          <w:tcPr>
            <w:tcW w:w="5040" w:type="dxa"/>
          </w:tcPr>
          <w:p w14:paraId="1232E30E" w14:textId="77777777" w:rsidR="004A5D3A" w:rsidRPr="004A5D3A" w:rsidRDefault="00A40D9C" w:rsidP="004A5D3A">
            <w:pPr>
              <w:pStyle w:val="Default"/>
              <w:jc w:val="both"/>
              <w:rPr>
                <w:rFonts w:ascii="Times New Roman" w:hAnsi="Times New Roman" w:cs="Times New Roman"/>
                <w:color w:val="auto"/>
              </w:rPr>
            </w:pPr>
            <w:proofErr w:type="spellStart"/>
            <w:r w:rsidRPr="00A40D9C">
              <w:rPr>
                <w:rFonts w:ascii="Times New Roman" w:hAnsi="Times New Roman" w:cs="Times New Roman"/>
                <w:color w:val="auto"/>
              </w:rPr>
              <w:t>RekS</w:t>
            </w:r>
            <w:proofErr w:type="spellEnd"/>
            <w:r w:rsidRPr="00A40D9C">
              <w:rPr>
                <w:rFonts w:ascii="Times New Roman" w:hAnsi="Times New Roman" w:cs="Times New Roman"/>
                <w:color w:val="auto"/>
              </w:rPr>
              <w:t xml:space="preserve"> § 29 (tervikuna), sh § 29 lg 3, lg 3¹, lg 8, lg 8¹, lg 10</w:t>
            </w:r>
            <w:r>
              <w:rPr>
                <w:rFonts w:ascii="Times New Roman" w:hAnsi="Times New Roman" w:cs="Times New Roman"/>
                <w:color w:val="auto"/>
              </w:rPr>
              <w:t xml:space="preserve"> - </w:t>
            </w:r>
            <w:r w:rsidR="004A5D3A" w:rsidRPr="004A5D3A">
              <w:rPr>
                <w:rFonts w:ascii="Times New Roman" w:hAnsi="Times New Roman" w:cs="Times New Roman"/>
                <w:color w:val="auto"/>
              </w:rPr>
              <w:t>Leiame, et Eesti reklaamiseadus (</w:t>
            </w:r>
            <w:proofErr w:type="spellStart"/>
            <w:r w:rsidR="004A5D3A" w:rsidRPr="004A5D3A">
              <w:rPr>
                <w:rFonts w:ascii="Times New Roman" w:hAnsi="Times New Roman" w:cs="Times New Roman"/>
                <w:color w:val="auto"/>
              </w:rPr>
              <w:t>RekS</w:t>
            </w:r>
            <w:proofErr w:type="spellEnd"/>
            <w:r w:rsidR="004A5D3A" w:rsidRPr="004A5D3A">
              <w:rPr>
                <w:rFonts w:ascii="Times New Roman" w:hAnsi="Times New Roman" w:cs="Times New Roman"/>
                <w:color w:val="auto"/>
              </w:rPr>
              <w:t xml:space="preserve">) tuleks viia kooskõlla uue direktiivi sõnastusega, loobudes Eesti seadusandluses direktiivis nimetamata keeldudest ja piirangutest. Direktiivi eesmärgiks on valdkonna maksimaalne harmoneerimine, et tagada siseturul finantsteenuste vaba liikumine. Selleks peaksid krediidiandjad saama oma krediiditooteid võrdsetel tingimustel ka reklaamida, näiteks tuleks ära kaotada </w:t>
            </w:r>
            <w:proofErr w:type="spellStart"/>
            <w:r w:rsidR="004A5D3A" w:rsidRPr="004A5D3A">
              <w:rPr>
                <w:rFonts w:ascii="Times New Roman" w:hAnsi="Times New Roman" w:cs="Times New Roman"/>
                <w:color w:val="auto"/>
              </w:rPr>
              <w:t>RekS</w:t>
            </w:r>
            <w:proofErr w:type="spellEnd"/>
            <w:r w:rsidR="004A5D3A" w:rsidRPr="004A5D3A">
              <w:rPr>
                <w:rFonts w:ascii="Times New Roman" w:hAnsi="Times New Roman" w:cs="Times New Roman"/>
                <w:color w:val="auto"/>
              </w:rPr>
              <w:t xml:space="preserve"> § 29 </w:t>
            </w:r>
            <w:proofErr w:type="spellStart"/>
            <w:r w:rsidR="004A5D3A" w:rsidRPr="004A5D3A">
              <w:rPr>
                <w:rFonts w:ascii="Times New Roman" w:hAnsi="Times New Roman" w:cs="Times New Roman"/>
                <w:color w:val="auto"/>
              </w:rPr>
              <w:t>lg-st</w:t>
            </w:r>
            <w:proofErr w:type="spellEnd"/>
            <w:r w:rsidR="004A5D3A" w:rsidRPr="004A5D3A">
              <w:rPr>
                <w:rFonts w:ascii="Times New Roman" w:hAnsi="Times New Roman" w:cs="Times New Roman"/>
                <w:color w:val="auto"/>
              </w:rPr>
              <w:t xml:space="preserve"> 10 tulenevate erandite tegemine elamukinnisvaraga seotud laenudele ja krediitkaartidele.</w:t>
            </w:r>
          </w:p>
          <w:p w14:paraId="759212E2" w14:textId="34CCED83" w:rsidR="00FC4995" w:rsidRPr="00412371" w:rsidRDefault="004A5D3A" w:rsidP="004A5D3A">
            <w:pPr>
              <w:pStyle w:val="Default"/>
              <w:jc w:val="both"/>
              <w:rPr>
                <w:rFonts w:ascii="Times New Roman" w:hAnsi="Times New Roman" w:cs="Times New Roman"/>
                <w:color w:val="auto"/>
              </w:rPr>
            </w:pPr>
            <w:proofErr w:type="spellStart"/>
            <w:r w:rsidRPr="004A5D3A">
              <w:rPr>
                <w:rFonts w:ascii="Times New Roman" w:hAnsi="Times New Roman" w:cs="Times New Roman"/>
                <w:color w:val="auto"/>
              </w:rPr>
              <w:t>EKALi</w:t>
            </w:r>
            <w:proofErr w:type="spellEnd"/>
            <w:r w:rsidRPr="004A5D3A">
              <w:rPr>
                <w:rFonts w:ascii="Times New Roman" w:hAnsi="Times New Roman" w:cs="Times New Roman"/>
                <w:color w:val="auto"/>
              </w:rPr>
              <w:t xml:space="preserve"> hinnangul on praegust </w:t>
            </w:r>
            <w:proofErr w:type="spellStart"/>
            <w:r w:rsidRPr="004A5D3A">
              <w:rPr>
                <w:rFonts w:ascii="Times New Roman" w:hAnsi="Times New Roman" w:cs="Times New Roman"/>
                <w:color w:val="auto"/>
              </w:rPr>
              <w:t>RekS-i</w:t>
            </w:r>
            <w:proofErr w:type="spellEnd"/>
            <w:r w:rsidRPr="004A5D3A">
              <w:rPr>
                <w:rFonts w:ascii="Times New Roman" w:hAnsi="Times New Roman" w:cs="Times New Roman"/>
                <w:color w:val="auto"/>
              </w:rPr>
              <w:t xml:space="preserve"> turuosalistel keeruline mõista ja rakendada</w:t>
            </w:r>
            <w:r>
              <w:rPr>
                <w:rFonts w:ascii="Times New Roman" w:hAnsi="Times New Roman" w:cs="Times New Roman"/>
                <w:color w:val="auto"/>
              </w:rPr>
              <w:t xml:space="preserve">. </w:t>
            </w:r>
            <w:r w:rsidR="005D3D61" w:rsidRPr="005D3D61">
              <w:rPr>
                <w:rFonts w:ascii="Times New Roman" w:hAnsi="Times New Roman" w:cs="Times New Roman"/>
                <w:color w:val="auto"/>
              </w:rPr>
              <w:t>Samuti ei arvesta seadus juba mõnda aega ei muutunud turuolukorra ega uute infokanalitega, mitmed piirangud ei ole enam asjakohased</w:t>
            </w:r>
            <w:r w:rsidR="005D3D61">
              <w:rPr>
                <w:rFonts w:ascii="Times New Roman" w:hAnsi="Times New Roman" w:cs="Times New Roman"/>
                <w:color w:val="auto"/>
              </w:rPr>
              <w:t>.</w:t>
            </w:r>
          </w:p>
        </w:tc>
        <w:tc>
          <w:tcPr>
            <w:tcW w:w="5016" w:type="dxa"/>
          </w:tcPr>
          <w:p w14:paraId="6C4CF675" w14:textId="154C2691" w:rsidR="00FC4995" w:rsidRPr="00412371" w:rsidRDefault="5562CEEB" w:rsidP="005B7547">
            <w:r w:rsidRPr="3EE41C98">
              <w:rPr>
                <w:b/>
                <w:bCs/>
              </w:rPr>
              <w:t>Selgitatud</w:t>
            </w:r>
            <w:r>
              <w:t xml:space="preserve">. </w:t>
            </w:r>
          </w:p>
          <w:p w14:paraId="014DF0FE" w14:textId="1FF0AD30" w:rsidR="00FC4995" w:rsidRPr="00412371" w:rsidRDefault="5562CEEB" w:rsidP="3EE41C98">
            <w:r>
              <w:t xml:space="preserve">Märkus puudutab reklaamiseaduse tervikregulatsiooni, sh </w:t>
            </w:r>
            <w:proofErr w:type="spellStart"/>
            <w:r>
              <w:t>RekS</w:t>
            </w:r>
            <w:proofErr w:type="spellEnd"/>
            <w:r>
              <w:t xml:space="preserve"> § 29 kohaldamisala ja struktuuri. Direktiiv (EL) 2023/2225 näeb ette </w:t>
            </w:r>
            <w:r w:rsidR="29D58733">
              <w:t>tarbijakrediidi reklaami teatavate küsimuste</w:t>
            </w:r>
            <w:r>
              <w:t xml:space="preserve"> harmoniseerimise</w:t>
            </w:r>
            <w:r w:rsidR="7B77BB93">
              <w:t xml:space="preserve"> (nt tarbijakrediidi reklaami kohustusliku sisu)</w:t>
            </w:r>
            <w:r>
              <w:t>, kuid ei välista liikmesriikidel täiendavate nõuete kehtestamist</w:t>
            </w:r>
            <w:r w:rsidR="55842BE5">
              <w:t xml:space="preserve"> küsimustes, mida direktiiv ei reguleeri</w:t>
            </w:r>
            <w:r>
              <w:t xml:space="preserve">. </w:t>
            </w:r>
          </w:p>
          <w:p w14:paraId="5EB19EC4" w14:textId="79D0DC29" w:rsidR="00FC4995" w:rsidRPr="00412371" w:rsidRDefault="00FC4995" w:rsidP="3EE41C98"/>
          <w:p w14:paraId="1D2567D6" w14:textId="3284A6F4" w:rsidR="00FC4995" w:rsidRPr="00412371" w:rsidRDefault="6684FEA0" w:rsidP="3EE41C98">
            <w:r>
              <w:t xml:space="preserve">Kõnealuse eelnõu eesmärk on tarbijakrediidi direktiivi ülevõtmine, mitte tarbijakrediidi valdkonna laiapõhjaline reform. Eelnõu ei sisalda direktiivi ülevõtmisega mitteseotud muudatusi. </w:t>
            </w:r>
          </w:p>
          <w:p w14:paraId="11E63EA3" w14:textId="0F15DF27" w:rsidR="00FC4995" w:rsidRPr="00412371" w:rsidRDefault="00FC4995" w:rsidP="3EE41C98"/>
          <w:p w14:paraId="7FEB5664" w14:textId="022D8702" w:rsidR="00FC4995" w:rsidRPr="00412371" w:rsidRDefault="5562CEEB" w:rsidP="3EE41C98">
            <w:proofErr w:type="spellStart"/>
            <w:r>
              <w:t>RekS</w:t>
            </w:r>
            <w:proofErr w:type="spellEnd"/>
            <w:r>
              <w:t xml:space="preserve"> § 29 lg 10 muutmine eeldaks finantsteenuse reklaami regulatsiooni laiemat ümberhindamist ning seda ei käsitleta käesoleva eelnõu raames, </w:t>
            </w:r>
            <w:r>
              <w:lastRenderedPageBreak/>
              <w:t xml:space="preserve">mille eesmärk on direktiivist tulenevate nõuete ülevõtmine. </w:t>
            </w:r>
          </w:p>
        </w:tc>
      </w:tr>
      <w:tr w:rsidR="00D22FD2" w14:paraId="5DFDD5FD" w14:textId="77777777" w:rsidTr="00617FBE">
        <w:tc>
          <w:tcPr>
            <w:tcW w:w="576" w:type="dxa"/>
          </w:tcPr>
          <w:p w14:paraId="29CD42B8" w14:textId="4EAB747D" w:rsidR="00361351" w:rsidRDefault="00BF56D8" w:rsidP="000179B5">
            <w:pPr>
              <w:jc w:val="center"/>
            </w:pPr>
            <w:r>
              <w:lastRenderedPageBreak/>
              <w:t>8</w:t>
            </w:r>
          </w:p>
        </w:tc>
        <w:tc>
          <w:tcPr>
            <w:tcW w:w="5040" w:type="dxa"/>
          </w:tcPr>
          <w:p w14:paraId="42855F57" w14:textId="133B8C6B" w:rsidR="00361351" w:rsidRPr="00A40D9C" w:rsidRDefault="00AF612C" w:rsidP="004A5D3A">
            <w:pPr>
              <w:pStyle w:val="Default"/>
              <w:jc w:val="both"/>
              <w:rPr>
                <w:rFonts w:ascii="Times New Roman" w:hAnsi="Times New Roman" w:cs="Times New Roman"/>
                <w:color w:val="auto"/>
              </w:rPr>
            </w:pPr>
            <w:proofErr w:type="spellStart"/>
            <w:r w:rsidRPr="00AF612C">
              <w:rPr>
                <w:rFonts w:ascii="Times New Roman" w:hAnsi="Times New Roman" w:cs="Times New Roman"/>
                <w:color w:val="auto"/>
              </w:rPr>
              <w:t>RekS</w:t>
            </w:r>
            <w:proofErr w:type="spellEnd"/>
            <w:r w:rsidRPr="00AF612C">
              <w:rPr>
                <w:rFonts w:ascii="Times New Roman" w:hAnsi="Times New Roman" w:cs="Times New Roman"/>
                <w:color w:val="auto"/>
              </w:rPr>
              <w:t xml:space="preserve"> § 29 lg 9</w:t>
            </w:r>
            <w:r>
              <w:rPr>
                <w:rFonts w:ascii="Times New Roman" w:hAnsi="Times New Roman" w:cs="Times New Roman"/>
                <w:color w:val="auto"/>
              </w:rPr>
              <w:t xml:space="preserve"> - </w:t>
            </w:r>
            <w:proofErr w:type="spellStart"/>
            <w:r w:rsidR="00126F7A" w:rsidRPr="00126F7A">
              <w:rPr>
                <w:rFonts w:ascii="Times New Roman" w:hAnsi="Times New Roman" w:cs="Times New Roman"/>
                <w:color w:val="auto"/>
              </w:rPr>
              <w:t>RekS</w:t>
            </w:r>
            <w:proofErr w:type="spellEnd"/>
            <w:r w:rsidR="00126F7A" w:rsidRPr="00126F7A">
              <w:rPr>
                <w:rFonts w:ascii="Times New Roman" w:hAnsi="Times New Roman" w:cs="Times New Roman"/>
                <w:color w:val="auto"/>
              </w:rPr>
              <w:t xml:space="preserve"> § 29 lg 9 kohaselt on tele- ja raadioprogrammis keelatud reklaam, millega teavitatakse valmisolekust anda tarbija käsutusse krediidilepingu alusel rahasumma või vahendada selliseid lepinguid. Direktiiv sellist keeldu ei sisalda ning see ei ole osutunud ka praktikas efektiivseks ega eesmärgipäraseks, pigem kitsendab see tarbijate võimalusi saada teavet turul eksisteerivatest võimalustest.</w:t>
            </w:r>
          </w:p>
        </w:tc>
        <w:tc>
          <w:tcPr>
            <w:tcW w:w="5016" w:type="dxa"/>
          </w:tcPr>
          <w:p w14:paraId="40BD8FED" w14:textId="5323085C" w:rsidR="00361351" w:rsidRPr="005B7547" w:rsidRDefault="361684BA" w:rsidP="005B7547">
            <w:r w:rsidRPr="3EE41C98">
              <w:rPr>
                <w:b/>
                <w:bCs/>
              </w:rPr>
              <w:t>Selgitatud.</w:t>
            </w:r>
            <w:r>
              <w:t xml:space="preserve"> </w:t>
            </w:r>
          </w:p>
          <w:p w14:paraId="11A765EC" w14:textId="2A567D0A" w:rsidR="00361351" w:rsidRPr="005B7547" w:rsidRDefault="361684BA" w:rsidP="3EE41C98">
            <w:r>
              <w:t xml:space="preserve">Märkus puudutab </w:t>
            </w:r>
            <w:proofErr w:type="spellStart"/>
            <w:r>
              <w:t>RekS</w:t>
            </w:r>
            <w:proofErr w:type="spellEnd"/>
            <w:r>
              <w:t xml:space="preserve"> § 29 lg 9 kohaldamist ja reklaamikanalitele seatud piiranguid. Direktiiv (EL) 2023/2225 ei reguleeri reklaamikanalite piiranguid ega välista liikmesriikidel täiendavate nõuete kehtestamist</w:t>
            </w:r>
            <w:r w:rsidR="4116AAFA">
              <w:t>, sh teatud infokanalites tarbijakrediidi reklaami piiramist</w:t>
            </w:r>
            <w:r>
              <w:t xml:space="preserve">. </w:t>
            </w:r>
            <w:proofErr w:type="spellStart"/>
            <w:r>
              <w:t>RekS</w:t>
            </w:r>
            <w:proofErr w:type="spellEnd"/>
            <w:r>
              <w:t xml:space="preserve"> § 29 lg 9 muutmine eeldaks finantsteenuse reklaami regulatsiooni laiemat ümberhindamist, mistõttu ei käsitleta seda käesoleva eelnõu raames.</w:t>
            </w:r>
          </w:p>
        </w:tc>
      </w:tr>
      <w:tr w:rsidR="00D22FD2" w14:paraId="60477688" w14:textId="77777777" w:rsidTr="00617FBE">
        <w:tc>
          <w:tcPr>
            <w:tcW w:w="576" w:type="dxa"/>
          </w:tcPr>
          <w:p w14:paraId="592C58BD" w14:textId="22A0C4DD" w:rsidR="00D1092D" w:rsidRDefault="00BF56D8" w:rsidP="000179B5">
            <w:pPr>
              <w:jc w:val="center"/>
            </w:pPr>
            <w:r>
              <w:t>9</w:t>
            </w:r>
          </w:p>
        </w:tc>
        <w:tc>
          <w:tcPr>
            <w:tcW w:w="5040" w:type="dxa"/>
          </w:tcPr>
          <w:p w14:paraId="0757FA4F" w14:textId="77777777" w:rsidR="00E72E4A" w:rsidRDefault="00D1092D" w:rsidP="00E72E4A">
            <w:pPr>
              <w:spacing w:line="252" w:lineRule="auto"/>
            </w:pPr>
            <w:proofErr w:type="spellStart"/>
            <w:r w:rsidRPr="00D1092D">
              <w:t>RekS</w:t>
            </w:r>
            <w:proofErr w:type="spellEnd"/>
            <w:r w:rsidRPr="00D1092D">
              <w:t xml:space="preserve"> § 29 lg 3¹, lg 3¹ p 5–6, lg 8, lg 8¹</w:t>
            </w:r>
            <w:r>
              <w:t xml:space="preserve"> - </w:t>
            </w:r>
            <w:r w:rsidR="00E72E4A">
              <w:t>6) paragrahvi 29 täiendatakse lõikega 8</w:t>
            </w:r>
            <w:r w:rsidR="00E72E4A">
              <w:rPr>
                <w:vertAlign w:val="superscript"/>
              </w:rPr>
              <w:t>1</w:t>
            </w:r>
            <w:r w:rsidR="00E72E4A">
              <w:t xml:space="preserve"> järgmises sõnastuses:</w:t>
            </w:r>
          </w:p>
          <w:p w14:paraId="552A63E4" w14:textId="77777777" w:rsidR="00E72E4A" w:rsidRDefault="00E72E4A" w:rsidP="00E72E4A">
            <w:pPr>
              <w:spacing w:line="252" w:lineRule="auto"/>
            </w:pPr>
            <w:r>
              <w:t>„(8</w:t>
            </w:r>
            <w:r>
              <w:rPr>
                <w:vertAlign w:val="superscript"/>
              </w:rPr>
              <w:t>1</w:t>
            </w:r>
            <w:r>
              <w:t>) Põhjendatud juhul, kui tüüpilise näite esitamiseks kasutatav andmekandja ei võimalda kõiki kohustuslikke elemente kuvada, on lubatud tüüpilises näites jätta kuvamata käesoleva paragrahvi lõike 3</w:t>
            </w:r>
            <w:r>
              <w:rPr>
                <w:vertAlign w:val="superscript"/>
              </w:rPr>
              <w:t>1</w:t>
            </w:r>
            <w:r>
              <w:t xml:space="preserve"> punktides 5 ja 6 olev teave. Elektroonilise andmekandja puhul peab tarbijale olema tagatud ligipääs käesoleva paragrahvi lõike 3</w:t>
            </w:r>
            <w:r>
              <w:rPr>
                <w:vertAlign w:val="superscript"/>
              </w:rPr>
              <w:t>1</w:t>
            </w:r>
            <w:r>
              <w:t xml:space="preserve"> punktides 5 ja 6 osutatud teabele klõpsamise, kerimise või </w:t>
            </w:r>
            <w:proofErr w:type="spellStart"/>
            <w:r>
              <w:t>ülelibistamise</w:t>
            </w:r>
            <w:proofErr w:type="spellEnd"/>
            <w:r>
              <w:t xml:space="preserve"> teel.“;</w:t>
            </w:r>
          </w:p>
          <w:p w14:paraId="15552673" w14:textId="1D46AE94" w:rsidR="00D1092D" w:rsidRPr="00AF612C" w:rsidRDefault="00E72E4A" w:rsidP="00E72E4A">
            <w:pPr>
              <w:pStyle w:val="Default"/>
              <w:jc w:val="both"/>
              <w:rPr>
                <w:rFonts w:ascii="Times New Roman" w:hAnsi="Times New Roman" w:cs="Times New Roman"/>
                <w:color w:val="auto"/>
              </w:rPr>
            </w:pPr>
            <w:r>
              <w:rPr>
                <w:rFonts w:ascii="Times New Roman" w:hAnsi="Times New Roman" w:cs="Times New Roman"/>
              </w:rPr>
              <w:t xml:space="preserve">Kas Google </w:t>
            </w:r>
            <w:proofErr w:type="spellStart"/>
            <w:r>
              <w:rPr>
                <w:rFonts w:ascii="Times New Roman" w:hAnsi="Times New Roman" w:cs="Times New Roman"/>
              </w:rPr>
              <w:t>Ads</w:t>
            </w:r>
            <w:proofErr w:type="spellEnd"/>
            <w:r>
              <w:rPr>
                <w:rFonts w:ascii="Times New Roman" w:hAnsi="Times New Roman" w:cs="Times New Roman"/>
              </w:rPr>
              <w:t xml:space="preserve"> puhul on tegemist sellise põhjendatud juhuga? Meie hinnangul piisaks</w:t>
            </w:r>
            <w:r w:rsidR="00BC4A62">
              <w:rPr>
                <w:rFonts w:ascii="Times New Roman" w:hAnsi="Times New Roman" w:cs="Times New Roman"/>
              </w:rPr>
              <w:t xml:space="preserve"> </w:t>
            </w:r>
            <w:r w:rsidR="00BC4A62" w:rsidRPr="00BC4A62">
              <w:rPr>
                <w:rFonts w:ascii="Times New Roman" w:hAnsi="Times New Roman" w:cs="Times New Roman"/>
              </w:rPr>
              <w:t>elektroonilises keskkonnas reklaami juurde teksti „Tutvu tingimustega siin“ lisamisest, mis omakorda suunab huvilise ühe klikiga lehele, kus on esitatud käesoleva paragrahvi lõike 3</w:t>
            </w:r>
            <w:r w:rsidR="00BC4A62" w:rsidRPr="00BC4A62">
              <w:rPr>
                <w:rFonts w:ascii="Times New Roman" w:hAnsi="Times New Roman" w:cs="Times New Roman"/>
                <w:vertAlign w:val="superscript"/>
              </w:rPr>
              <w:t>1</w:t>
            </w:r>
            <w:r w:rsidR="00BC4A62" w:rsidRPr="00BC4A62">
              <w:rPr>
                <w:rFonts w:ascii="Times New Roman" w:hAnsi="Times New Roman" w:cs="Times New Roman"/>
              </w:rPr>
              <w:t xml:space="preserve"> punktides 5 ja 6 osutatud teave. Sellist lähenemist toetab ka direktiiv („Digikanalite puhul võib osa tüüpilises näites sisalduvast standardteabest esitada klõpsamise, kerimise või üle libistamise teel.“).</w:t>
            </w:r>
          </w:p>
        </w:tc>
        <w:tc>
          <w:tcPr>
            <w:tcW w:w="5016" w:type="dxa"/>
          </w:tcPr>
          <w:p w14:paraId="4C544E68" w14:textId="1B379279" w:rsidR="00662758" w:rsidRPr="00662758" w:rsidRDefault="634DA1FA" w:rsidP="00662758">
            <w:r w:rsidRPr="3EE41C98">
              <w:rPr>
                <w:b/>
                <w:bCs/>
              </w:rPr>
              <w:t xml:space="preserve">Arvestatud osaliselt. </w:t>
            </w:r>
          </w:p>
          <w:p w14:paraId="6CF81B83" w14:textId="4C3B1A11" w:rsidR="00662758" w:rsidRPr="00662758" w:rsidRDefault="634DA1FA" w:rsidP="3EE41C98">
            <w:r>
              <w:t xml:space="preserve">Eelnõus täiendatakse </w:t>
            </w:r>
            <w:proofErr w:type="spellStart"/>
            <w:r>
              <w:t>RekS</w:t>
            </w:r>
            <w:proofErr w:type="spellEnd"/>
            <w:r>
              <w:t xml:space="preserve"> § 29 lõiget 8 ning lisatakse lõige 8¹, millega arvestatakse digikeskkonna eripäradega ja võimaldatakse teabe esitamine viisil, mis on kohandatud kasutatava andmekandja tehnilistele piirangutele.</w:t>
            </w:r>
          </w:p>
          <w:p w14:paraId="0544724B" w14:textId="77777777" w:rsidR="00662758" w:rsidRPr="00662758" w:rsidRDefault="00662758" w:rsidP="00662758">
            <w:r w:rsidRPr="00662758">
              <w:t xml:space="preserve">Google </w:t>
            </w:r>
            <w:proofErr w:type="spellStart"/>
            <w:r w:rsidRPr="00662758">
              <w:t>Ads’i</w:t>
            </w:r>
            <w:proofErr w:type="spellEnd"/>
            <w:r w:rsidRPr="00662758">
              <w:t xml:space="preserve"> puhul võib sõltuvalt konkreetsest reklaamiformaadist olla tegemist põhjendatud juhuga, kui tehnilised piirangud ei võimalda kõiki tüüpilise näite elemente samaaegselt kuvada.</w:t>
            </w:r>
          </w:p>
          <w:p w14:paraId="151FFC98" w14:textId="77777777" w:rsidR="00CF5330" w:rsidRPr="00CF5330" w:rsidRDefault="00CF5330" w:rsidP="00CF5330">
            <w:r w:rsidRPr="00CF5330">
              <w:t xml:space="preserve">Samas ei ole piisav üksnes üldine suunav viide (nt „Tutvu tingimustega siin“), kui kohustusliku teabe kättesaamine eeldab tarbijalt täiendavat otsimist või ei ole vahetult reklaamist ligipääsetav. Digikanalites on lubatud teabe kihiline esitamine (nt klõpsamise, kerimise või </w:t>
            </w:r>
            <w:proofErr w:type="spellStart"/>
            <w:r w:rsidRPr="00CF5330">
              <w:t>ülelibistamise</w:t>
            </w:r>
            <w:proofErr w:type="spellEnd"/>
            <w:r w:rsidRPr="00CF5330">
              <w:t xml:space="preserve"> teel), kuid teave peab olema tarbijale kergesti ja vahetult kättesaadav.</w:t>
            </w:r>
          </w:p>
          <w:p w14:paraId="7EB0D0CE" w14:textId="072A19F4" w:rsidR="00D1092D" w:rsidRPr="009A4719" w:rsidRDefault="00CF5330" w:rsidP="00CF5330">
            <w:pPr>
              <w:rPr>
                <w:b/>
                <w:bCs/>
              </w:rPr>
            </w:pPr>
            <w:r w:rsidRPr="00CF5330">
              <w:t xml:space="preserve">Seletuskirja on täiendatud </w:t>
            </w:r>
            <w:proofErr w:type="spellStart"/>
            <w:r w:rsidRPr="00CF5330">
              <w:t>RekS</w:t>
            </w:r>
            <w:proofErr w:type="spellEnd"/>
            <w:r w:rsidRPr="00CF5330">
              <w:t xml:space="preserve"> § 29 lg 8 ja lg 8¹ selgituse juures, tuues näiteid olukordadest, mida võib käsitada „põhjendatud juhuna“, ning selgitades elektroonilises keskkonnas teabe kättesaadavuse nõude sisu.</w:t>
            </w:r>
          </w:p>
        </w:tc>
      </w:tr>
      <w:tr w:rsidR="00D22FD2" w14:paraId="3AD0F4BF" w14:textId="77777777" w:rsidTr="00617FBE">
        <w:tc>
          <w:tcPr>
            <w:tcW w:w="576" w:type="dxa"/>
          </w:tcPr>
          <w:p w14:paraId="17ED076F" w14:textId="00BC370B" w:rsidR="007E23FD" w:rsidRDefault="00BF56D8" w:rsidP="000179B5">
            <w:pPr>
              <w:jc w:val="center"/>
            </w:pPr>
            <w:r>
              <w:t>10</w:t>
            </w:r>
          </w:p>
        </w:tc>
        <w:tc>
          <w:tcPr>
            <w:tcW w:w="5040" w:type="dxa"/>
          </w:tcPr>
          <w:p w14:paraId="2107331D" w14:textId="073621BC" w:rsidR="00B15F4F" w:rsidRPr="00B15F4F" w:rsidRDefault="007E23FD" w:rsidP="00B15F4F">
            <w:pPr>
              <w:spacing w:line="252" w:lineRule="auto"/>
            </w:pPr>
            <w:proofErr w:type="spellStart"/>
            <w:r w:rsidRPr="007E23FD">
              <w:t>RekS</w:t>
            </w:r>
            <w:proofErr w:type="spellEnd"/>
            <w:r w:rsidRPr="007E23FD">
              <w:t xml:space="preserve"> § 29 lg 3¹, lg 8, lg 8¹</w:t>
            </w:r>
            <w:r>
              <w:t xml:space="preserve"> - </w:t>
            </w:r>
            <w:r w:rsidR="00B15F4F">
              <w:t>t</w:t>
            </w:r>
            <w:r w:rsidR="00B15F4F" w:rsidRPr="00B15F4F">
              <w:t xml:space="preserve">oome välja ka peamised praktilised probleemid seoses </w:t>
            </w:r>
            <w:proofErr w:type="spellStart"/>
            <w:r w:rsidR="00B15F4F" w:rsidRPr="00B15F4F">
              <w:t>RekS</w:t>
            </w:r>
            <w:proofErr w:type="spellEnd"/>
            <w:r w:rsidR="00B15F4F" w:rsidRPr="00B15F4F">
              <w:t xml:space="preserve"> §-ga 29: a) vastutustundlikkuse ja tasakaalustatuse kriteeriumid on subjektiivsed (puudub õigusselgus ja -kindlus);</w:t>
            </w:r>
          </w:p>
          <w:p w14:paraId="2C409EDA" w14:textId="77777777" w:rsidR="00B15F4F" w:rsidRPr="00B15F4F" w:rsidRDefault="00B15F4F" w:rsidP="00B15F4F">
            <w:pPr>
              <w:spacing w:line="252" w:lineRule="auto"/>
            </w:pPr>
            <w:r w:rsidRPr="00B15F4F">
              <w:t>b) finantsteenuse reklaami sisu ja vormi piirid on endiselt ähmased (sõnaline vs kujunduslik teave);</w:t>
            </w:r>
          </w:p>
          <w:p w14:paraId="461AD754" w14:textId="77777777" w:rsidR="00B15F4F" w:rsidRPr="00B15F4F" w:rsidRDefault="00B15F4F" w:rsidP="00B15F4F">
            <w:pPr>
              <w:spacing w:line="252" w:lineRule="auto"/>
            </w:pPr>
            <w:r w:rsidRPr="00B15F4F">
              <w:t>c) järelevalvepraktika on olnud kohati vastuoluline ja sõltunud menetluse läbiviija subjektiivsest tõlgendusest, mis ei ühti alati turul valitseva praktika või arusaamaga;</w:t>
            </w:r>
          </w:p>
          <w:p w14:paraId="134265B5" w14:textId="77777777" w:rsidR="007F6D37" w:rsidRPr="007F6D37" w:rsidRDefault="007F6D37" w:rsidP="007F6D37">
            <w:pPr>
              <w:spacing w:line="252" w:lineRule="auto"/>
            </w:pPr>
            <w:r w:rsidRPr="007F6D37">
              <w:t xml:space="preserve">d) </w:t>
            </w:r>
            <w:proofErr w:type="spellStart"/>
            <w:r w:rsidRPr="007F6D37">
              <w:t>RekS</w:t>
            </w:r>
            <w:proofErr w:type="spellEnd"/>
            <w:r w:rsidRPr="007F6D37">
              <w:t xml:space="preserve"> § 29 lg 3</w:t>
            </w:r>
            <w:r w:rsidRPr="007F6D37">
              <w:rPr>
                <w:vertAlign w:val="superscript"/>
              </w:rPr>
              <w:t>1</w:t>
            </w:r>
            <w:r w:rsidRPr="007F6D37">
              <w:t xml:space="preserve"> kohane tüüpiline näide tarbijakrediidireklaamides ei täida oma eesmärki – see jääb vähese finantskirjaoskusega tarbijale </w:t>
            </w:r>
            <w:r w:rsidRPr="007F6D37">
              <w:lastRenderedPageBreak/>
              <w:t>arusaamatuks ning tüüpilises näites avaldatud numbritega on võimalik erineval viisil manipuleerida;</w:t>
            </w:r>
          </w:p>
          <w:p w14:paraId="754486ED" w14:textId="77777777" w:rsidR="007F6D37" w:rsidRPr="007F6D37" w:rsidRDefault="007F6D37" w:rsidP="007F6D37">
            <w:pPr>
              <w:spacing w:line="252" w:lineRule="auto"/>
            </w:pPr>
            <w:r w:rsidRPr="007F6D37">
              <w:t>e) vaidlused reklaami mõiste üle seoses asjaoluga, et reklaami avalikustamise kanalid ja võimalused on avardunud;</w:t>
            </w:r>
          </w:p>
          <w:p w14:paraId="7B42EFEF" w14:textId="60F91873" w:rsidR="007E23FD" w:rsidRPr="00D1092D" w:rsidRDefault="007F6D37" w:rsidP="007F6D37">
            <w:pPr>
              <w:spacing w:line="252" w:lineRule="auto"/>
            </w:pPr>
            <w:r w:rsidRPr="007F6D37">
              <w:t xml:space="preserve">f) </w:t>
            </w:r>
            <w:proofErr w:type="spellStart"/>
            <w:r w:rsidRPr="007F6D37">
              <w:t>RekS</w:t>
            </w:r>
            <w:proofErr w:type="spellEnd"/>
            <w:r w:rsidRPr="007F6D37">
              <w:t xml:space="preserve"> § 29 on juba aastaid põhjustanud krediiditurul ebavõrdset olukorda, sest ettevõtetele suunatud laenude reklaamidele kehtib oluliselt vähem piiranguid kui tarbijakrediidi omadele. See on ajendanud mõningaid turuosalisi lisama kunstlikult oma toodete valikusse ka „ärilaenu“, et sellele reklaamis viidates pääseda tarbijakrediidile kehtivatest reklaaminõuetest.</w:t>
            </w:r>
          </w:p>
        </w:tc>
        <w:tc>
          <w:tcPr>
            <w:tcW w:w="5016" w:type="dxa"/>
          </w:tcPr>
          <w:p w14:paraId="138F2FC5" w14:textId="52B5242F" w:rsidR="00627EFA" w:rsidRPr="00627EFA" w:rsidRDefault="18CA2096" w:rsidP="00627EFA">
            <w:r w:rsidRPr="3EE41C98">
              <w:rPr>
                <w:b/>
                <w:bCs/>
              </w:rPr>
              <w:lastRenderedPageBreak/>
              <w:t>Arvestatud osaliselt</w:t>
            </w:r>
            <w:r w:rsidR="49030D17" w:rsidRPr="3EE41C98">
              <w:rPr>
                <w:b/>
                <w:bCs/>
              </w:rPr>
              <w:t xml:space="preserve"> / Selgitatud</w:t>
            </w:r>
            <w:r w:rsidRPr="3EE41C98">
              <w:rPr>
                <w:b/>
                <w:bCs/>
              </w:rPr>
              <w:t xml:space="preserve">. </w:t>
            </w:r>
          </w:p>
          <w:p w14:paraId="04230E3C" w14:textId="188EA12D" w:rsidR="00627EFA" w:rsidRPr="00627EFA" w:rsidRDefault="18CA2096" w:rsidP="00627EFA">
            <w:r>
              <w:t>Märkuses tõstatatud probleemid puudutavad regulatsiooni õigusselgust, kohaldamispraktikat ning finantsteenuse reklaami regulatsiooni laiemat kujundamist.</w:t>
            </w:r>
          </w:p>
          <w:p w14:paraId="4FE5B597" w14:textId="77777777" w:rsidR="00627EFA" w:rsidRPr="00627EFA" w:rsidRDefault="00627EFA" w:rsidP="00627EFA">
            <w:r w:rsidRPr="00627EFA">
              <w:t xml:space="preserve">Käesoleva eelnõu raames ei käsitleta </w:t>
            </w:r>
            <w:proofErr w:type="spellStart"/>
            <w:r w:rsidRPr="00627EFA">
              <w:t>RekS</w:t>
            </w:r>
            <w:proofErr w:type="spellEnd"/>
            <w:r w:rsidRPr="00627EFA">
              <w:t xml:space="preserve"> § 29 tervikregulatsiooni ega selle kohaldamispraktika ümberkujundamist.</w:t>
            </w:r>
          </w:p>
          <w:p w14:paraId="51FB9005" w14:textId="48E939F7" w:rsidR="007E23FD" w:rsidRPr="00662758" w:rsidRDefault="00627EFA" w:rsidP="00627EFA">
            <w:pPr>
              <w:rPr>
                <w:b/>
                <w:bCs/>
              </w:rPr>
            </w:pPr>
            <w:r w:rsidRPr="00627EFA">
              <w:t xml:space="preserve">Samas täiendatakse seletuskirja </w:t>
            </w:r>
            <w:proofErr w:type="spellStart"/>
            <w:r w:rsidRPr="00627EFA">
              <w:t>RekS</w:t>
            </w:r>
            <w:proofErr w:type="spellEnd"/>
            <w:r w:rsidRPr="00627EFA">
              <w:t xml:space="preserve"> § 29 lg 3¹, lg 8 ja lg 8¹ selgituste juures, täpsustades tüüpilise näite eesmärki, teabe esitamise</w:t>
            </w:r>
            <w:r w:rsidR="005426B6">
              <w:t xml:space="preserve"> </w:t>
            </w:r>
            <w:r w:rsidR="005426B6" w:rsidRPr="005426B6">
              <w:t>põhimõtteid ning digikanalite erisusi, mis aitavad parandada regulatsiooni arusaadavust ja rakendamist.</w:t>
            </w:r>
          </w:p>
        </w:tc>
      </w:tr>
      <w:tr w:rsidR="00D22FD2" w14:paraId="3ED54F14" w14:textId="77777777" w:rsidTr="00617FBE">
        <w:tc>
          <w:tcPr>
            <w:tcW w:w="576" w:type="dxa"/>
          </w:tcPr>
          <w:p w14:paraId="730BF639" w14:textId="739CF7C0" w:rsidR="00EF4DA8" w:rsidRDefault="00BF56D8" w:rsidP="000179B5">
            <w:pPr>
              <w:jc w:val="center"/>
            </w:pPr>
            <w:r>
              <w:lastRenderedPageBreak/>
              <w:t>11</w:t>
            </w:r>
          </w:p>
        </w:tc>
        <w:tc>
          <w:tcPr>
            <w:tcW w:w="5040" w:type="dxa"/>
          </w:tcPr>
          <w:p w14:paraId="2CF1E5FD" w14:textId="31E2291C" w:rsidR="00EF4DA8" w:rsidRPr="007E23FD" w:rsidRDefault="00EF4DA8" w:rsidP="00B15F4F">
            <w:pPr>
              <w:spacing w:line="252" w:lineRule="auto"/>
            </w:pPr>
            <w:proofErr w:type="spellStart"/>
            <w:r w:rsidRPr="00EF4DA8">
              <w:t>RekS</w:t>
            </w:r>
            <w:proofErr w:type="spellEnd"/>
            <w:r w:rsidRPr="00EF4DA8">
              <w:t xml:space="preserve"> § 29 lg 3, lg 3¹; VÕS § 409 lg 1</w:t>
            </w:r>
            <w:r>
              <w:t xml:space="preserve"> - </w:t>
            </w:r>
            <w:r w:rsidR="0032199B" w:rsidRPr="0032199B">
              <w:t>EKAL pooldab õiglast ja võrdset regulatsiooni nii tarbija- kui ettevõtluskrediidile. Soovime ka rõhutada, et tarbija ei tee laenuvõtmise otsust lähtuvalt reklaamist, vaid vastavalt oma vajadusele. Selleks kaardistatakse turul nähtuvad või tarbijale teadaolevaid teenusepakkujad, kellega alustatakse lepingueelseid läbirääkimisi – laenuvõtmise otsus kinnitatakse alles laenulepingu allkirjastamisel või hetkel, mil tarbija väljendab tahet olla lepingutingimustega seotud. Ka pärast lepingu sõlmimist on tarbijal võimalik 14 päeva jooksul oma tahteavaldus</w:t>
            </w:r>
            <w:r w:rsidR="00DB43E6" w:rsidRPr="00DB43E6">
              <w:t xml:space="preserve"> tagasi võtta ehk kasutada VÕS §-st 409 </w:t>
            </w:r>
            <w:proofErr w:type="spellStart"/>
            <w:r w:rsidR="00DB43E6" w:rsidRPr="00DB43E6">
              <w:t>lg-st</w:t>
            </w:r>
            <w:proofErr w:type="spellEnd"/>
            <w:r w:rsidR="00DB43E6" w:rsidRPr="00DB43E6">
              <w:t xml:space="preserve"> 1 tulenevat taganemisõigust. Krediidiandjatele pandud kohustused ning tarbijatele tagatud õigused on tõstnud oluliselt tarbijate finantsteadlikkust ning loonud olukorra, kus tarbijal on võimalik hoolikalt kaaluda nii laenuvõtmist kui sellega seotud võimalikke tagajärgi.</w:t>
            </w:r>
          </w:p>
        </w:tc>
        <w:tc>
          <w:tcPr>
            <w:tcW w:w="5016" w:type="dxa"/>
          </w:tcPr>
          <w:p w14:paraId="3BC7A54B" w14:textId="4218FDD2" w:rsidR="00892B21" w:rsidRPr="00892B21" w:rsidRDefault="7902F125" w:rsidP="00892B21">
            <w:r w:rsidRPr="3EE41C98">
              <w:rPr>
                <w:b/>
                <w:bCs/>
              </w:rPr>
              <w:t xml:space="preserve">Selgitatud. </w:t>
            </w:r>
          </w:p>
          <w:p w14:paraId="0D186A27" w14:textId="21777FFA" w:rsidR="00892B21" w:rsidRPr="00892B21" w:rsidRDefault="7902F125" w:rsidP="00892B21">
            <w:r>
              <w:t>Märkus puudutab tarbijakäitumise ja vastutustundliku laenamise üldisi põhimõtteid.</w:t>
            </w:r>
          </w:p>
          <w:p w14:paraId="5710E95C" w14:textId="7CAD1103" w:rsidR="00EF4DA8" w:rsidRPr="00627EFA" w:rsidRDefault="00892B21" w:rsidP="00892B21">
            <w:pPr>
              <w:rPr>
                <w:b/>
                <w:bCs/>
              </w:rPr>
            </w:pPr>
            <w:r w:rsidRPr="00892B21">
              <w:t xml:space="preserve">Seletuskirja täiendatakse </w:t>
            </w:r>
            <w:proofErr w:type="spellStart"/>
            <w:r w:rsidRPr="00892B21">
              <w:t>RekS</w:t>
            </w:r>
            <w:proofErr w:type="spellEnd"/>
            <w:r w:rsidRPr="00892B21">
              <w:t xml:space="preserve"> § 29 lg 3 selgituse juures, rõhutades reklaami rolli tarbija esmasel teavitamisel ning selle seost lepingueelse teabe esitamisega, mille alusel kujundab tarbija lõpliku otsuse krediidilepingu sõlmimiseks.</w:t>
            </w:r>
          </w:p>
        </w:tc>
      </w:tr>
      <w:tr w:rsidR="00D22FD2" w14:paraId="4B0EC554" w14:textId="77777777" w:rsidTr="00617FBE">
        <w:tc>
          <w:tcPr>
            <w:tcW w:w="576" w:type="dxa"/>
          </w:tcPr>
          <w:p w14:paraId="4328CC27" w14:textId="1CC7D2BD" w:rsidR="00D445D8" w:rsidRDefault="00BF56D8" w:rsidP="000179B5">
            <w:pPr>
              <w:jc w:val="center"/>
            </w:pPr>
            <w:r>
              <w:t>12</w:t>
            </w:r>
          </w:p>
        </w:tc>
        <w:tc>
          <w:tcPr>
            <w:tcW w:w="5040" w:type="dxa"/>
          </w:tcPr>
          <w:p w14:paraId="64C03826" w14:textId="280A4CB2" w:rsidR="00111F91" w:rsidRPr="00111F91" w:rsidRDefault="00D445D8" w:rsidP="00111F91">
            <w:pPr>
              <w:spacing w:line="252" w:lineRule="auto"/>
            </w:pPr>
            <w:proofErr w:type="spellStart"/>
            <w:r w:rsidRPr="00D445D8">
              <w:t>RekS</w:t>
            </w:r>
            <w:proofErr w:type="spellEnd"/>
            <w:r w:rsidRPr="00D445D8">
              <w:t xml:space="preserve"> § 29 lg 3; tarbijakaitseseadus § 4 lg 1</w:t>
            </w:r>
            <w:r>
              <w:t xml:space="preserve"> - </w:t>
            </w:r>
            <w:proofErr w:type="spellStart"/>
            <w:r w:rsidR="00111F91" w:rsidRPr="00111F91">
              <w:t>EKALi</w:t>
            </w:r>
            <w:proofErr w:type="spellEnd"/>
            <w:r w:rsidR="00111F91" w:rsidRPr="00111F91">
              <w:t xml:space="preserve"> hinnangul on tarbija jaoks alati parim lahendus, kui talle pakutakse huvipakkuva toote või teenuse kohta kanaliüleselt rohkem infot (tagamaks, et tarbija otsus ei sünni mitte pelgalt kaubamärgi, vaid toote/teenuse omaduste võrdluse tulemusena). See on vajalik eeskätt tarbija majandushuvide kaitse ja informeerimise seisukohalt, võttes arvesse mh tarbijakaitseseaduse § 4 lg 1. Samuti ei sätesta direktiiv kohustust piirduda tarbijakrediidi reklaamis ainult kohustusliku standardteabega. Seega ei ole </w:t>
            </w:r>
            <w:proofErr w:type="spellStart"/>
            <w:r w:rsidR="00111F91" w:rsidRPr="00111F91">
              <w:t>RekS</w:t>
            </w:r>
            <w:proofErr w:type="spellEnd"/>
            <w:r w:rsidR="00111F91" w:rsidRPr="00111F91">
              <w:t xml:space="preserve"> § 29 lg 3 sätestatud sisupiirang direktiiviga kooskõlas.</w:t>
            </w:r>
          </w:p>
          <w:p w14:paraId="0F2CBFB3" w14:textId="3D36F806" w:rsidR="00D445D8" w:rsidRPr="00EF4DA8" w:rsidRDefault="00111F91" w:rsidP="00111F91">
            <w:pPr>
              <w:spacing w:line="252" w:lineRule="auto"/>
            </w:pPr>
            <w:r w:rsidRPr="00111F91">
              <w:lastRenderedPageBreak/>
              <w:t>On mõistlik kaaluda piirangute vähendamist tarbijakrediidireklaamile ning anda laenuandjatele võimalus tutvustada toote omadusi ja eripärasid, mille põhjal tarbija saaks teha informeerituma ja kaalutletuma otsuse</w:t>
            </w:r>
          </w:p>
        </w:tc>
        <w:tc>
          <w:tcPr>
            <w:tcW w:w="5016" w:type="dxa"/>
          </w:tcPr>
          <w:p w14:paraId="6B547E47" w14:textId="7D5C8E34" w:rsidR="00C64A75" w:rsidRPr="00C64A75" w:rsidRDefault="6974267F" w:rsidP="00C64A75">
            <w:r w:rsidRPr="3EE41C98">
              <w:rPr>
                <w:b/>
                <w:bCs/>
              </w:rPr>
              <w:lastRenderedPageBreak/>
              <w:t xml:space="preserve">Selgitatud. </w:t>
            </w:r>
          </w:p>
          <w:p w14:paraId="2C87628D" w14:textId="4BFF88F8" w:rsidR="00C64A75" w:rsidRPr="00C64A75" w:rsidRDefault="6974267F" w:rsidP="00C64A75">
            <w:proofErr w:type="spellStart"/>
            <w:r>
              <w:t>RekS</w:t>
            </w:r>
            <w:proofErr w:type="spellEnd"/>
            <w:r>
              <w:t xml:space="preserve"> § 29 lg 3 eesmärk on tagada tarbijakrediidi reklaamis standardteabe esiletõstmine ja esitatava teabe võrreldavus.</w:t>
            </w:r>
          </w:p>
          <w:p w14:paraId="42C2ED1A" w14:textId="60DC821A" w:rsidR="00D445D8" w:rsidRPr="00892B21" w:rsidRDefault="00C64A75" w:rsidP="00C64A75">
            <w:pPr>
              <w:rPr>
                <w:b/>
                <w:bCs/>
              </w:rPr>
            </w:pPr>
            <w:r w:rsidRPr="00C64A75">
              <w:t xml:space="preserve">Käesoleva eelnõu raames ei muudeta sisupiirangute põhimõtteid ega ulatust. Seletuskirja täiendatakse </w:t>
            </w:r>
            <w:proofErr w:type="spellStart"/>
            <w:r w:rsidRPr="00C64A75">
              <w:t>RekS</w:t>
            </w:r>
            <w:proofErr w:type="spellEnd"/>
            <w:r w:rsidRPr="00C64A75">
              <w:t xml:space="preserve"> § 29 lg 3 selgituse juures, selgitades sisupiirangute eesmärki ning nende rolli tarbijale esitatava teabe tasakaalus.</w:t>
            </w:r>
          </w:p>
        </w:tc>
      </w:tr>
      <w:tr w:rsidR="00D22FD2" w14:paraId="5BB12194" w14:textId="77777777" w:rsidTr="00617FBE">
        <w:tc>
          <w:tcPr>
            <w:tcW w:w="576" w:type="dxa"/>
          </w:tcPr>
          <w:p w14:paraId="2CA3795F" w14:textId="606B969D" w:rsidR="00277D3B" w:rsidRDefault="00BF56D8" w:rsidP="000179B5">
            <w:pPr>
              <w:jc w:val="center"/>
            </w:pPr>
            <w:r>
              <w:lastRenderedPageBreak/>
              <w:t>13</w:t>
            </w:r>
          </w:p>
        </w:tc>
        <w:tc>
          <w:tcPr>
            <w:tcW w:w="5040" w:type="dxa"/>
          </w:tcPr>
          <w:p w14:paraId="167403C9" w14:textId="70AD4691" w:rsidR="00277D3B" w:rsidRPr="00D445D8" w:rsidRDefault="00277D3B" w:rsidP="00111F91">
            <w:pPr>
              <w:spacing w:line="252" w:lineRule="auto"/>
            </w:pPr>
            <w:r>
              <w:t>D</w:t>
            </w:r>
            <w:r w:rsidRPr="00277D3B">
              <w:t>irektiiv (EL) 2023/2225 artikkel 8</w:t>
            </w:r>
            <w:r>
              <w:t xml:space="preserve"> - </w:t>
            </w:r>
            <w:r w:rsidR="00A01EB2" w:rsidRPr="00A01EB2">
              <w:t>EL tarbijakrediididirektiivi ülevõtmise käigus on näiteks Lätis planeeritud seni kehtinud reklaamipiiranguid vähendada, Tarbijakaitseameti ja Majandusministeeriumi eestvedamisel on vastav protsess seal juba käimas.</w:t>
            </w:r>
          </w:p>
        </w:tc>
        <w:tc>
          <w:tcPr>
            <w:tcW w:w="5016" w:type="dxa"/>
          </w:tcPr>
          <w:p w14:paraId="0DD585A8" w14:textId="1A132532" w:rsidR="00E81CED" w:rsidRPr="00E81CED" w:rsidRDefault="135E065D" w:rsidP="00E81CED">
            <w:r w:rsidRPr="3EE41C98">
              <w:rPr>
                <w:b/>
                <w:bCs/>
              </w:rPr>
              <w:t xml:space="preserve">Selgitatud. </w:t>
            </w:r>
          </w:p>
          <w:p w14:paraId="7BC1FA6D" w14:textId="5404E0D1" w:rsidR="00277D3B" w:rsidRPr="00C64A75" w:rsidRDefault="135E065D" w:rsidP="00E81CED">
            <w:pPr>
              <w:rPr>
                <w:b/>
                <w:bCs/>
              </w:rPr>
            </w:pPr>
            <w:r>
              <w:t xml:space="preserve">Märkus viitab teiste liikmesriikide regulatiivsetele valikutele direktiivi (EL) 2023/2225 ülevõtmisel. </w:t>
            </w:r>
            <w:r w:rsidR="2205982C">
              <w:t>Kuigi võrdlevate lahenduste kasutamine võib olla üheks argumendiks seaduse muutmisel, siis sõltuvad r</w:t>
            </w:r>
            <w:r w:rsidR="096E8110">
              <w:t xml:space="preserve">iigisisesed lahendused </w:t>
            </w:r>
            <w:r w:rsidR="6B75B816">
              <w:t xml:space="preserve">selle kõrval ka </w:t>
            </w:r>
            <w:r w:rsidR="096E8110">
              <w:t>olemasolevast õigusraamistikust ja tarbijakaitse tasemest.</w:t>
            </w:r>
            <w:r w:rsidR="6BF769DF">
              <w:t xml:space="preserve"> </w:t>
            </w:r>
            <w:r w:rsidR="00E81CED" w:rsidRPr="00E81CED">
              <w:t>Käesoleva eelnõu koostamisel on lähtutud Eesti kehtivast regulatsioonist ning eesmärgist tagada direktiivist tulenevate nõuete ülevõtmine viisil, mis säilitab olemasoleva tarbijakaitse taseme.</w:t>
            </w:r>
            <w:r w:rsidR="5F3DB6FE">
              <w:t xml:space="preserve"> </w:t>
            </w:r>
            <w:r w:rsidR="579A9B7F">
              <w:t xml:space="preserve">Samuti ei teha eelnõuga selliseid muudatusi, mis ei ole direktiivi ülevõtmiseks ilmtingimata vajalikud. </w:t>
            </w:r>
          </w:p>
        </w:tc>
      </w:tr>
      <w:tr w:rsidR="002A6C9D" w14:paraId="4E937A51" w14:textId="77777777" w:rsidTr="00617FBE">
        <w:tc>
          <w:tcPr>
            <w:tcW w:w="10632" w:type="dxa"/>
            <w:gridSpan w:val="3"/>
          </w:tcPr>
          <w:p w14:paraId="7467D641" w14:textId="2BAD1F2B" w:rsidR="00D61107" w:rsidRPr="00E81CED" w:rsidRDefault="00DD5CB9" w:rsidP="00E81CED">
            <w:pPr>
              <w:rPr>
                <w:b/>
                <w:bCs/>
              </w:rPr>
            </w:pPr>
            <w:r>
              <w:t>Jõustumisaeg</w:t>
            </w:r>
          </w:p>
        </w:tc>
      </w:tr>
      <w:tr w:rsidR="00D22FD2" w14:paraId="229CC395" w14:textId="77777777" w:rsidTr="00617FBE">
        <w:tc>
          <w:tcPr>
            <w:tcW w:w="576" w:type="dxa"/>
          </w:tcPr>
          <w:p w14:paraId="67C4038A" w14:textId="6B8855C6" w:rsidR="00D61107" w:rsidRDefault="00BF56D8" w:rsidP="000179B5">
            <w:pPr>
              <w:jc w:val="center"/>
            </w:pPr>
            <w:r>
              <w:t>14</w:t>
            </w:r>
          </w:p>
        </w:tc>
        <w:tc>
          <w:tcPr>
            <w:tcW w:w="5040" w:type="dxa"/>
          </w:tcPr>
          <w:p w14:paraId="65C8BA3E" w14:textId="46419B32" w:rsidR="00D61107" w:rsidRDefault="008235D6" w:rsidP="008235D6">
            <w:pPr>
              <w:spacing w:line="252" w:lineRule="auto"/>
            </w:pPr>
            <w:r>
              <w:t>Isegi juhul, kui riiklik ülevõtmine toimub pärast 20. novembrit 2025, sätestab seadusandja 12-kuulise perioodi seaduse jõustumise ja selle sisuliste sätete kohaldamise vahel. Selline lahendus oleks kooskõlas nii uue tarbijakrediidi eesmärgi, Euroopa Liidu regulatiivse praktika ning õiguskindluse põhimõtetega ning väldiks ebaproportsionaalset koormust turuosalistele.</w:t>
            </w:r>
          </w:p>
        </w:tc>
        <w:tc>
          <w:tcPr>
            <w:tcW w:w="5016" w:type="dxa"/>
          </w:tcPr>
          <w:p w14:paraId="37006826" w14:textId="70318755" w:rsidR="00D61107" w:rsidRPr="00E81CED" w:rsidRDefault="10EA1212" w:rsidP="00E81CED">
            <w:r w:rsidRPr="05B57F32">
              <w:rPr>
                <w:b/>
                <w:bCs/>
              </w:rPr>
              <w:t>Arvestatud osaliselt / Selgitatud.</w:t>
            </w:r>
            <w:r>
              <w:t xml:space="preserve"> </w:t>
            </w:r>
          </w:p>
          <w:p w14:paraId="503AF2C4" w14:textId="5C37C9B4" w:rsidR="00D61107" w:rsidRPr="00E81CED" w:rsidRDefault="10EA1212" w:rsidP="00E81CED">
            <w:r>
              <w:t xml:space="preserve">Justiits- ja Digiministeerium mõistab praktilist vajadust eelnõu jõustumistähtaja edasilükkamise järele. </w:t>
            </w:r>
          </w:p>
          <w:p w14:paraId="751047AB" w14:textId="0DEE4813" w:rsidR="00D61107" w:rsidRPr="00E81CED" w:rsidRDefault="10EA1212" w:rsidP="00E81CED">
            <w:r>
              <w:t xml:space="preserve">Eelnõuga on lükatud seaduse jõustumiskuupäeva võrreldes esialgu kavandatuga kuus kuud edasi. Sellest pikem edasilükkamine tekitaks oluliselt suurema rikkumismenetluse ohu. Seetõttu ei saa pikemat </w:t>
            </w:r>
            <w:r w:rsidR="7792196F">
              <w:t>tähtaeg</w:t>
            </w:r>
            <w:r w:rsidR="62D7ED9E">
              <w:t>a</w:t>
            </w:r>
            <w:r>
              <w:t xml:space="preserve"> ette näha. Kuid praktilisest vajadusest lähtuvalt lükatakse jõustumistähtaeg kuus kuud edasi.</w:t>
            </w:r>
          </w:p>
          <w:p w14:paraId="609DD90D" w14:textId="0189483E" w:rsidR="00D61107" w:rsidRPr="00E81CED" w:rsidRDefault="00D61107" w:rsidP="00E81CED">
            <w:pPr>
              <w:rPr>
                <w:b/>
                <w:bCs/>
              </w:rPr>
            </w:pPr>
          </w:p>
        </w:tc>
      </w:tr>
      <w:tr w:rsidR="002A6C9D" w14:paraId="26FC0094" w14:textId="77777777" w:rsidTr="00617FBE">
        <w:tc>
          <w:tcPr>
            <w:tcW w:w="10632" w:type="dxa"/>
            <w:gridSpan w:val="3"/>
          </w:tcPr>
          <w:p w14:paraId="74276935" w14:textId="49A44691" w:rsidR="000179B5" w:rsidRDefault="000179B5" w:rsidP="000179B5">
            <w:r w:rsidRPr="00C7376A">
              <w:rPr>
                <w:b/>
                <w:bCs/>
              </w:rPr>
              <w:t>Finantsinspektsioon</w:t>
            </w:r>
          </w:p>
        </w:tc>
      </w:tr>
      <w:tr w:rsidR="002A6C9D" w14:paraId="4D1289DB" w14:textId="77777777" w:rsidTr="00617FBE">
        <w:tc>
          <w:tcPr>
            <w:tcW w:w="10632" w:type="dxa"/>
            <w:gridSpan w:val="3"/>
          </w:tcPr>
          <w:p w14:paraId="40AD2288" w14:textId="426E30F3" w:rsidR="00CF281B" w:rsidRPr="00C7376A" w:rsidRDefault="00DD5CB9" w:rsidP="000179B5">
            <w:r>
              <w:t>Võlaõigusseadus</w:t>
            </w:r>
          </w:p>
        </w:tc>
      </w:tr>
      <w:tr w:rsidR="00D22FD2" w14:paraId="22D0D868" w14:textId="77777777" w:rsidTr="00617FBE">
        <w:tc>
          <w:tcPr>
            <w:tcW w:w="576" w:type="dxa"/>
          </w:tcPr>
          <w:p w14:paraId="214A0B61" w14:textId="1858AF53" w:rsidR="00396711" w:rsidRPr="00C7376A" w:rsidRDefault="00DD5CB9" w:rsidP="000179B5">
            <w:pPr>
              <w:jc w:val="center"/>
            </w:pPr>
            <w:r>
              <w:t>1</w:t>
            </w:r>
          </w:p>
        </w:tc>
        <w:tc>
          <w:tcPr>
            <w:tcW w:w="5040" w:type="dxa"/>
          </w:tcPr>
          <w:p w14:paraId="04D3857F" w14:textId="0A69BFE9" w:rsidR="54DD3B36" w:rsidRDefault="54DD3B36" w:rsidP="2C76756C">
            <w:pPr>
              <w:pStyle w:val="Default"/>
              <w:jc w:val="both"/>
              <w:rPr>
                <w:rFonts w:ascii="Times New Roman" w:hAnsi="Times New Roman" w:cs="Times New Roman"/>
                <w:color w:val="auto"/>
              </w:rPr>
            </w:pPr>
            <w:r w:rsidRPr="2C76756C">
              <w:rPr>
                <w:rFonts w:ascii="Times New Roman" w:hAnsi="Times New Roman" w:cs="Times New Roman"/>
                <w:color w:val="auto"/>
              </w:rPr>
              <w:t>Finantsinspektsioon juhib tähelepanu, et kuna krediidivahenduslepingu definitsioon jääb muutmata, siis tasuta tarbijakrediidi vahendamine ei kuulu automaatselt VÕS 22. peatüki 2. jao reguleerimisalasse krediidivahenduse suhtes.</w:t>
            </w:r>
          </w:p>
          <w:p w14:paraId="2E4CDA4C" w14:textId="1EE6D15E" w:rsidR="2C76756C" w:rsidRDefault="2C76756C" w:rsidP="2C76756C">
            <w:pPr>
              <w:pStyle w:val="Default"/>
              <w:jc w:val="both"/>
              <w:rPr>
                <w:rFonts w:ascii="Times New Roman" w:hAnsi="Times New Roman" w:cs="Times New Roman"/>
                <w:color w:val="auto"/>
              </w:rPr>
            </w:pPr>
          </w:p>
          <w:p w14:paraId="30A35F75" w14:textId="08E30B65" w:rsidR="00396711" w:rsidRPr="003627AA" w:rsidRDefault="00396711" w:rsidP="00396711">
            <w:pPr>
              <w:pStyle w:val="Default"/>
              <w:jc w:val="both"/>
              <w:rPr>
                <w:rFonts w:ascii="Times New Roman" w:hAnsi="Times New Roman" w:cs="Times New Roman"/>
                <w:color w:val="auto"/>
              </w:rPr>
            </w:pPr>
            <w:r w:rsidRPr="00396711">
              <w:rPr>
                <w:rFonts w:ascii="Times New Roman" w:hAnsi="Times New Roman" w:cs="Times New Roman"/>
                <w:color w:val="auto"/>
              </w:rPr>
              <w:t>Eelnõu kohaselt VÕS § 403 lõikes 3 asendatakse sõna „krediidilepingule“ sõnaga „tarbijakrediidilepingule“, kuid säilitatakse mõiste krediidivahendusleping. VÕS § 401</w:t>
            </w:r>
            <w:r>
              <w:rPr>
                <w:rFonts w:ascii="Times New Roman" w:hAnsi="Times New Roman" w:cs="Times New Roman"/>
                <w:color w:val="auto"/>
                <w:vertAlign w:val="superscript"/>
              </w:rPr>
              <w:t>1</w:t>
            </w:r>
            <w:r w:rsidRPr="00396711">
              <w:rPr>
                <w:rFonts w:ascii="Times New Roman" w:hAnsi="Times New Roman" w:cs="Times New Roman"/>
                <w:color w:val="auto"/>
              </w:rPr>
              <w:t xml:space="preserve"> kohaselt on krediidivahendusleping </w:t>
            </w:r>
            <w:proofErr w:type="spellStart"/>
            <w:r w:rsidRPr="00396711">
              <w:rPr>
                <w:rFonts w:ascii="Times New Roman" w:hAnsi="Times New Roman" w:cs="Times New Roman"/>
                <w:color w:val="auto"/>
              </w:rPr>
              <w:t>üldmõiste</w:t>
            </w:r>
            <w:proofErr w:type="spellEnd"/>
            <w:r w:rsidRPr="00396711">
              <w:rPr>
                <w:rFonts w:ascii="Times New Roman" w:hAnsi="Times New Roman" w:cs="Times New Roman"/>
                <w:color w:val="auto"/>
              </w:rPr>
              <w:t>, sarnaselt VÕS § 401 lõikes 1 toodud krediidilepingu mõistega. Seega ei ole selge, mis põhjusel ei ole muudetud krediidivahenduse mõistet. Krediidivahendus on seotud krediidilepinguga.</w:t>
            </w:r>
          </w:p>
        </w:tc>
        <w:tc>
          <w:tcPr>
            <w:tcW w:w="5016" w:type="dxa"/>
          </w:tcPr>
          <w:p w14:paraId="3978AE3F" w14:textId="0546C506" w:rsidR="00396711" w:rsidRPr="00C7376A" w:rsidRDefault="1225CAA0" w:rsidP="000179B5">
            <w:r w:rsidRPr="2D34D7CD">
              <w:rPr>
                <w:b/>
                <w:bCs/>
              </w:rPr>
              <w:t>Arvestatud</w:t>
            </w:r>
            <w:r>
              <w:t>.</w:t>
            </w:r>
          </w:p>
          <w:p w14:paraId="0691CF78" w14:textId="747A55AD" w:rsidR="00396711" w:rsidRPr="00C7376A" w:rsidRDefault="1225CAA0" w:rsidP="2D34D7CD">
            <w:r>
              <w:t>Eelnõusse on lisatud VÕS § 401</w:t>
            </w:r>
            <w:r w:rsidRPr="2D34D7CD">
              <w:rPr>
                <w:vertAlign w:val="superscript"/>
              </w:rPr>
              <w:t>1</w:t>
            </w:r>
            <w:r w:rsidRPr="2D34D7CD">
              <w:t xml:space="preserve"> muudatused.</w:t>
            </w:r>
          </w:p>
        </w:tc>
      </w:tr>
      <w:tr w:rsidR="00D22FD2" w14:paraId="1166BEF2" w14:textId="77777777" w:rsidTr="00617FBE">
        <w:tc>
          <w:tcPr>
            <w:tcW w:w="576" w:type="dxa"/>
          </w:tcPr>
          <w:p w14:paraId="40FEAFA7" w14:textId="1D4ABCD9" w:rsidR="00396711" w:rsidRPr="00C7376A" w:rsidRDefault="00DD5CB9" w:rsidP="000179B5">
            <w:pPr>
              <w:jc w:val="center"/>
            </w:pPr>
            <w:r>
              <w:lastRenderedPageBreak/>
              <w:t>2</w:t>
            </w:r>
          </w:p>
        </w:tc>
        <w:tc>
          <w:tcPr>
            <w:tcW w:w="5040" w:type="dxa"/>
          </w:tcPr>
          <w:p w14:paraId="05A56EB7" w14:textId="3D9BEDB1" w:rsidR="00396711" w:rsidRPr="00396711" w:rsidRDefault="00087468" w:rsidP="00E5687E">
            <w:pPr>
              <w:pStyle w:val="Default"/>
              <w:jc w:val="both"/>
              <w:rPr>
                <w:rFonts w:ascii="Times New Roman" w:hAnsi="Times New Roman" w:cs="Times New Roman"/>
                <w:color w:val="auto"/>
              </w:rPr>
            </w:pPr>
            <w:r w:rsidRPr="00087468">
              <w:rPr>
                <w:rFonts w:ascii="Times New Roman" w:hAnsi="Times New Roman" w:cs="Times New Roman"/>
                <w:color w:val="auto"/>
              </w:rPr>
              <w:t>Eelnõu § 1 punkti 16 kohaselt muudetakse paragrahvi 403</w:t>
            </w:r>
            <w:r>
              <w:rPr>
                <w:rFonts w:ascii="Times New Roman" w:hAnsi="Times New Roman" w:cs="Times New Roman"/>
                <w:color w:val="auto"/>
                <w:vertAlign w:val="superscript"/>
              </w:rPr>
              <w:t>1</w:t>
            </w:r>
            <w:r>
              <w:rPr>
                <w:rFonts w:ascii="Times New Roman" w:hAnsi="Times New Roman" w:cs="Times New Roman"/>
                <w:color w:val="auto"/>
              </w:rPr>
              <w:t xml:space="preserve"> </w:t>
            </w:r>
            <w:r w:rsidRPr="00087468">
              <w:rPr>
                <w:rFonts w:ascii="Times New Roman" w:hAnsi="Times New Roman" w:cs="Times New Roman"/>
                <w:color w:val="auto"/>
              </w:rPr>
              <w:t>lõiget 1 ja väljend „krediidiandja või</w:t>
            </w:r>
            <w:r>
              <w:rPr>
                <w:rFonts w:ascii="Times New Roman" w:hAnsi="Times New Roman" w:cs="Times New Roman"/>
                <w:color w:val="auto"/>
              </w:rPr>
              <w:t xml:space="preserve"> </w:t>
            </w:r>
            <w:r w:rsidRPr="00087468">
              <w:rPr>
                <w:rFonts w:ascii="Times New Roman" w:hAnsi="Times New Roman" w:cs="Times New Roman"/>
                <w:color w:val="auto"/>
              </w:rPr>
              <w:t>krediidivahendaja“ asendatakse edaspidi väljendiga</w:t>
            </w:r>
            <w:r>
              <w:rPr>
                <w:rFonts w:ascii="Times New Roman" w:hAnsi="Times New Roman" w:cs="Times New Roman"/>
                <w:color w:val="auto"/>
              </w:rPr>
              <w:t xml:space="preserve"> </w:t>
            </w:r>
            <w:r w:rsidRPr="00087468">
              <w:rPr>
                <w:rFonts w:ascii="Times New Roman" w:hAnsi="Times New Roman" w:cs="Times New Roman"/>
                <w:color w:val="auto"/>
              </w:rPr>
              <w:t>„krediidiandja ja krediidivahendaja“ (kusjuures eelnõus mitmes kohas).</w:t>
            </w:r>
            <w:r w:rsidR="00E5687E">
              <w:t xml:space="preserve"> </w:t>
            </w:r>
            <w:r w:rsidR="00E5687E" w:rsidRPr="00E5687E">
              <w:rPr>
                <w:rFonts w:ascii="Times New Roman" w:hAnsi="Times New Roman" w:cs="Times New Roman"/>
                <w:color w:val="auto"/>
              </w:rPr>
              <w:t xml:space="preserve">Olenemata eelnõu seletuskirjas toodud põhjendustest võib sõnastuse muutmine kujule „krediidiandja ja krediidivahendaja“ jätta mulje, et mõlemad isikud peavad alati ja iseseisvalt sama teabe esitama. Keeleliselt ei viita sidesõna „ja“ alternatiivile, seega tõlgenduslikult tähendab see </w:t>
            </w:r>
            <w:proofErr w:type="spellStart"/>
            <w:r w:rsidR="00E5687E" w:rsidRPr="00E5687E">
              <w:rPr>
                <w:rFonts w:ascii="Times New Roman" w:hAnsi="Times New Roman" w:cs="Times New Roman"/>
                <w:color w:val="auto"/>
              </w:rPr>
              <w:t>topeltkohustust</w:t>
            </w:r>
            <w:proofErr w:type="spellEnd"/>
            <w:r w:rsidR="00E5687E" w:rsidRPr="00E5687E">
              <w:rPr>
                <w:rFonts w:ascii="Times New Roman" w:hAnsi="Times New Roman" w:cs="Times New Roman"/>
                <w:color w:val="auto"/>
              </w:rPr>
              <w:t>.</w:t>
            </w:r>
            <w:r w:rsidR="00E5687E">
              <w:rPr>
                <w:rFonts w:ascii="Times New Roman" w:hAnsi="Times New Roman" w:cs="Times New Roman"/>
                <w:color w:val="auto"/>
              </w:rPr>
              <w:t xml:space="preserve"> </w:t>
            </w:r>
            <w:r w:rsidR="00E5687E" w:rsidRPr="00E5687E">
              <w:rPr>
                <w:rFonts w:ascii="Times New Roman" w:hAnsi="Times New Roman" w:cs="Times New Roman"/>
                <w:color w:val="auto"/>
              </w:rPr>
              <w:t xml:space="preserve">Arvestades, et tegemist on maksimaalse ühtlustamisele suunatud regulatsiooniga leiame, et „krediidiandja ning asjakohasel juhul krediidivahendaja“ peegeldab direktiivi ülesehitust, väldib </w:t>
            </w:r>
            <w:proofErr w:type="spellStart"/>
            <w:r w:rsidR="00E5687E" w:rsidRPr="00E5687E">
              <w:rPr>
                <w:rFonts w:ascii="Times New Roman" w:hAnsi="Times New Roman" w:cs="Times New Roman"/>
                <w:color w:val="auto"/>
              </w:rPr>
              <w:t>topeltkohustuse</w:t>
            </w:r>
            <w:proofErr w:type="spellEnd"/>
            <w:r w:rsidR="00E5687E" w:rsidRPr="00E5687E">
              <w:rPr>
                <w:rFonts w:ascii="Times New Roman" w:hAnsi="Times New Roman" w:cs="Times New Roman"/>
                <w:color w:val="auto"/>
              </w:rPr>
              <w:t xml:space="preserve"> tõlgendust ning tagab, et kohustus lasub alati vähemalt ühel turuosalisel.</w:t>
            </w:r>
          </w:p>
        </w:tc>
        <w:tc>
          <w:tcPr>
            <w:tcW w:w="5016" w:type="dxa"/>
          </w:tcPr>
          <w:p w14:paraId="29CC1814" w14:textId="545E3AC8" w:rsidR="00396711" w:rsidRPr="00C7376A" w:rsidRDefault="13D029BD" w:rsidP="000179B5">
            <w:r w:rsidRPr="2D34D7CD">
              <w:rPr>
                <w:b/>
                <w:bCs/>
              </w:rPr>
              <w:t>Arvestatud</w:t>
            </w:r>
            <w:r>
              <w:t xml:space="preserve">. </w:t>
            </w:r>
          </w:p>
          <w:p w14:paraId="36951C2D" w14:textId="4950A539" w:rsidR="00396711" w:rsidRPr="00C7376A" w:rsidRDefault="13D029BD" w:rsidP="000179B5">
            <w:r>
              <w:t xml:space="preserve">Eelnõu on </w:t>
            </w:r>
            <w:r w:rsidR="2DF96218">
              <w:t xml:space="preserve"> läbivalt </w:t>
            </w:r>
            <w:r>
              <w:t xml:space="preserve">vastavalt muudetud. </w:t>
            </w:r>
          </w:p>
        </w:tc>
      </w:tr>
      <w:tr w:rsidR="00D22FD2" w14:paraId="2E86A597" w14:textId="77777777" w:rsidTr="00617FBE">
        <w:tc>
          <w:tcPr>
            <w:tcW w:w="576" w:type="dxa"/>
          </w:tcPr>
          <w:p w14:paraId="28F25AAE" w14:textId="573BA56D" w:rsidR="005C1093" w:rsidRPr="00C7376A" w:rsidRDefault="00DD5CB9" w:rsidP="000179B5">
            <w:pPr>
              <w:jc w:val="center"/>
            </w:pPr>
            <w:r>
              <w:t>3</w:t>
            </w:r>
          </w:p>
        </w:tc>
        <w:tc>
          <w:tcPr>
            <w:tcW w:w="5040" w:type="dxa"/>
          </w:tcPr>
          <w:p w14:paraId="7A35F545" w14:textId="578BDA4C" w:rsidR="005C1093" w:rsidRPr="005C1093" w:rsidRDefault="7ECA6BC9" w:rsidP="00722FA3">
            <w:pPr>
              <w:pStyle w:val="Default"/>
              <w:jc w:val="both"/>
              <w:rPr>
                <w:rFonts w:ascii="Times New Roman" w:hAnsi="Times New Roman" w:cs="Times New Roman"/>
                <w:color w:val="auto"/>
              </w:rPr>
            </w:pPr>
            <w:r w:rsidRPr="3EE41C98">
              <w:rPr>
                <w:rFonts w:ascii="Times New Roman" w:hAnsi="Times New Roman" w:cs="Times New Roman"/>
                <w:color w:val="auto"/>
              </w:rPr>
              <w:t xml:space="preserve">Finantsinspektsioon teeb ettepaneku VÕS § </w:t>
            </w:r>
            <w:r w:rsidR="208908D8" w:rsidRPr="3EE41C98">
              <w:rPr>
                <w:rFonts w:ascii="Times New Roman" w:hAnsi="Times New Roman" w:cs="Times New Roman"/>
                <w:color w:val="auto"/>
              </w:rPr>
              <w:t>403</w:t>
            </w:r>
            <w:r w:rsidR="208908D8" w:rsidRPr="3EE41C98">
              <w:rPr>
                <w:rFonts w:ascii="Times New Roman" w:hAnsi="Times New Roman" w:cs="Times New Roman"/>
                <w:color w:val="auto"/>
                <w:vertAlign w:val="superscript"/>
              </w:rPr>
              <w:t>1</w:t>
            </w:r>
            <w:r w:rsidR="208908D8" w:rsidRPr="3EE41C98">
              <w:rPr>
                <w:rFonts w:ascii="Times New Roman" w:hAnsi="Times New Roman" w:cs="Times New Roman"/>
                <w:color w:val="auto"/>
              </w:rPr>
              <w:t xml:space="preserve"> lõikes 2 punktis 9 nimetatud </w:t>
            </w:r>
            <w:r w:rsidRPr="3EE41C98">
              <w:rPr>
                <w:rFonts w:ascii="Times New Roman" w:hAnsi="Times New Roman" w:cs="Times New Roman"/>
                <w:color w:val="auto"/>
              </w:rPr>
              <w:t>krediidiliikide määramisel lähtuda Rahandusministri 19. detsembri 2015. a määruse nr 50 „Finantsinspektsioonile esitatavate krediidiandja või -vahendaja ning välisriigi krediidiandja või -vahendaja filiaali aruannete vormid, koostamise metoodika ja esitamise kord“ Lisas 3 „Eestis väljastatud tarbijakrediitide käivete aruanne“ punktis 4.1. toodud krediidilepingu tüüpide identifikaatoritest, millele lisanduksid õppelaen ja krediitkaart</w:t>
            </w:r>
            <w:r w:rsidR="208908D8" w:rsidRPr="3EE41C98">
              <w:rPr>
                <w:rFonts w:ascii="Times New Roman" w:hAnsi="Times New Roman" w:cs="Times New Roman"/>
                <w:color w:val="auto"/>
              </w:rPr>
              <w:t xml:space="preserve">. </w:t>
            </w:r>
            <w:r w:rsidRPr="3EE41C98">
              <w:rPr>
                <w:rFonts w:ascii="Times New Roman" w:hAnsi="Times New Roman" w:cs="Times New Roman"/>
                <w:color w:val="auto"/>
              </w:rPr>
              <w:t xml:space="preserve">Krediidiliikidena on asjakohane kehtestada küllaltki detailne nimekiri, mis annab krediidiandjale võimaluse valida tema tootele kõige </w:t>
            </w:r>
          </w:p>
          <w:p w14:paraId="030F5A25" w14:textId="77777777" w:rsidR="005C1093" w:rsidRPr="005C1093" w:rsidRDefault="005C1093" w:rsidP="00722FA3">
            <w:pPr>
              <w:pStyle w:val="Default"/>
              <w:jc w:val="both"/>
              <w:rPr>
                <w:rFonts w:ascii="Times New Roman" w:hAnsi="Times New Roman" w:cs="Times New Roman"/>
                <w:color w:val="auto"/>
              </w:rPr>
            </w:pPr>
            <w:r w:rsidRPr="005C1093">
              <w:rPr>
                <w:rFonts w:ascii="Times New Roman" w:hAnsi="Times New Roman" w:cs="Times New Roman"/>
                <w:color w:val="auto"/>
              </w:rPr>
              <w:t xml:space="preserve">paremini vastav liik. Krediidiliikide loetelus võiks olla kajastatud vähemalt järgmised krediidiliigid: </w:t>
            </w:r>
          </w:p>
          <w:p w14:paraId="250F7D76" w14:textId="77777777" w:rsidR="00722FA3" w:rsidRDefault="005C1093" w:rsidP="00722FA3">
            <w:pPr>
              <w:pStyle w:val="Default"/>
              <w:numPr>
                <w:ilvl w:val="0"/>
                <w:numId w:val="23"/>
              </w:numPr>
              <w:jc w:val="both"/>
              <w:rPr>
                <w:rFonts w:ascii="Times New Roman" w:hAnsi="Times New Roman" w:cs="Times New Roman"/>
                <w:color w:val="auto"/>
              </w:rPr>
            </w:pPr>
            <w:r w:rsidRPr="005C1093">
              <w:rPr>
                <w:rFonts w:ascii="Times New Roman" w:hAnsi="Times New Roman" w:cs="Times New Roman"/>
                <w:color w:val="auto"/>
              </w:rPr>
              <w:t>Elamukinnisvaraga seotud krediit;</w:t>
            </w:r>
          </w:p>
          <w:p w14:paraId="56BFE0D9" w14:textId="77777777" w:rsid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Sõiduki liising;</w:t>
            </w:r>
          </w:p>
          <w:p w14:paraId="5D706D10" w14:textId="77777777" w:rsid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Muu vara liising;</w:t>
            </w:r>
          </w:p>
          <w:p w14:paraId="3DA66ED9" w14:textId="77777777" w:rsid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Vara ost järelmaksuga;</w:t>
            </w:r>
          </w:p>
          <w:p w14:paraId="269981E1" w14:textId="77777777" w:rsid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 xml:space="preserve">Õppelaen; </w:t>
            </w:r>
          </w:p>
          <w:p w14:paraId="473DBC12" w14:textId="77777777" w:rsid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Krediitkaart;</w:t>
            </w:r>
          </w:p>
          <w:p w14:paraId="748D7F47" w14:textId="63DA42B3" w:rsidR="005C1093" w:rsidRPr="00722FA3" w:rsidRDefault="005C1093" w:rsidP="00722FA3">
            <w:pPr>
              <w:pStyle w:val="Default"/>
              <w:numPr>
                <w:ilvl w:val="0"/>
                <w:numId w:val="23"/>
              </w:numPr>
              <w:jc w:val="both"/>
              <w:rPr>
                <w:rFonts w:ascii="Times New Roman" w:hAnsi="Times New Roman" w:cs="Times New Roman"/>
                <w:color w:val="auto"/>
              </w:rPr>
            </w:pPr>
            <w:r w:rsidRPr="00722FA3">
              <w:rPr>
                <w:rFonts w:ascii="Times New Roman" w:hAnsi="Times New Roman" w:cs="Times New Roman"/>
                <w:color w:val="auto"/>
              </w:rPr>
              <w:t>Muu rahaline krediit.</w:t>
            </w:r>
          </w:p>
        </w:tc>
        <w:tc>
          <w:tcPr>
            <w:tcW w:w="5016" w:type="dxa"/>
          </w:tcPr>
          <w:p w14:paraId="6CC41595" w14:textId="23D0B500" w:rsidR="08C2D739" w:rsidRDefault="08C2D739" w:rsidP="3EE41C98">
            <w:pPr>
              <w:rPr>
                <w:b/>
                <w:bCs/>
              </w:rPr>
            </w:pPr>
            <w:r w:rsidRPr="3EE41C98">
              <w:rPr>
                <w:b/>
                <w:bCs/>
              </w:rPr>
              <w:t xml:space="preserve">Mittearvestatud / Selgitatud. </w:t>
            </w:r>
          </w:p>
          <w:p w14:paraId="4558909E" w14:textId="3BCCD91A" w:rsidR="39DBD38B" w:rsidRDefault="39DBD38B" w:rsidP="3EE41C98">
            <w:pPr>
              <w:rPr>
                <w:rFonts w:eastAsia="Times New Roman"/>
                <w:color w:val="000000" w:themeColor="text1"/>
              </w:rPr>
            </w:pPr>
            <w:r w:rsidRPr="3EE41C98">
              <w:rPr>
                <w:rFonts w:eastAsia="Times New Roman"/>
                <w:color w:val="000000" w:themeColor="text1"/>
              </w:rPr>
              <w:t>Direktiiv ei näe lepingueelse teabe esitamisel nii detailselt ette seda, mida tuleks krediidi liigi all mõista ja kuidas tuleks seda tarbijale kommunikeerida.</w:t>
            </w:r>
          </w:p>
          <w:p w14:paraId="33D90D9E" w14:textId="57842CEA" w:rsidR="512FEE94" w:rsidRDefault="512FEE94" w:rsidP="3EE41C98">
            <w:r w:rsidRPr="3EE41C98">
              <w:rPr>
                <w:rFonts w:eastAsia="Times New Roman"/>
                <w:color w:val="000000" w:themeColor="text1"/>
              </w:rPr>
              <w:t xml:space="preserve">Täpse krediidi liigi nimetuse valik </w:t>
            </w:r>
            <w:r w:rsidR="08C2D739" w:rsidRPr="3EE41C98">
              <w:rPr>
                <w:rFonts w:eastAsia="Times New Roman"/>
                <w:color w:val="000000" w:themeColor="text1"/>
              </w:rPr>
              <w:t xml:space="preserve">on krediidiandja enda otsustada. Ehk siis sellest määratlusest, mis on ette nähtud </w:t>
            </w:r>
            <w:r w:rsidR="0A372886" w:rsidRPr="3EE41C98">
              <w:rPr>
                <w:rFonts w:eastAsia="Times New Roman"/>
                <w:color w:val="000000" w:themeColor="text1"/>
              </w:rPr>
              <w:t>rahandusministri määruses</w:t>
            </w:r>
            <w:r w:rsidR="08C2D739" w:rsidRPr="3EE41C98">
              <w:rPr>
                <w:rFonts w:eastAsia="Times New Roman"/>
                <w:color w:val="000000" w:themeColor="text1"/>
              </w:rPr>
              <w:t xml:space="preserve">, võib lähtuda, aga ei pea. See ei ole krediidiandjale kohustuslik. Oluline on, et lepingueelses teabes märgitud krediidi liik annaks tarbijale ettekujutuse sellest, mis tüüpi tarbijakrediidilepingu ta sõlmib. Aga seadusandja ei kirjuta turuosalistele täpselt ette seda, missugustest liigitusest või klassifikaatoritest nad seejuures lähtuma peaksid. Liiga jäik regulatsioon võiks olla negatiivne mh põhjusel, et see ei võimaldaks piisavalt paindlikult tulevaste turuarengute ja potentsiaalselt uute krediiditoodetega arvestada. </w:t>
            </w:r>
            <w:r w:rsidR="08C2D739" w:rsidRPr="3EE41C98">
              <w:rPr>
                <w:rFonts w:eastAsia="Times New Roman"/>
              </w:rPr>
              <w:t xml:space="preserve"> </w:t>
            </w:r>
          </w:p>
          <w:p w14:paraId="6EB04CCF" w14:textId="7ADBD0D0" w:rsidR="3EE41C98" w:rsidRDefault="3EE41C98"/>
          <w:p w14:paraId="562C1A44" w14:textId="7D12C156" w:rsidR="3EE41C98" w:rsidRDefault="3EE41C98"/>
          <w:p w14:paraId="538CB780" w14:textId="027B390D" w:rsidR="3EE41C98" w:rsidRDefault="3EE41C98"/>
          <w:p w14:paraId="7358BE3A" w14:textId="716841B9" w:rsidR="005C1093" w:rsidRPr="00C7376A" w:rsidRDefault="005C1093" w:rsidP="000179B5"/>
        </w:tc>
      </w:tr>
      <w:tr w:rsidR="00D22FD2" w14:paraId="6243677F" w14:textId="77777777" w:rsidTr="00617FBE">
        <w:tc>
          <w:tcPr>
            <w:tcW w:w="576" w:type="dxa"/>
          </w:tcPr>
          <w:p w14:paraId="44D42A5A" w14:textId="26462336" w:rsidR="00326DE0" w:rsidRPr="00C7376A" w:rsidRDefault="00DD5CB9" w:rsidP="000179B5">
            <w:pPr>
              <w:jc w:val="center"/>
            </w:pPr>
            <w:r>
              <w:t>4</w:t>
            </w:r>
          </w:p>
        </w:tc>
        <w:tc>
          <w:tcPr>
            <w:tcW w:w="5040" w:type="dxa"/>
          </w:tcPr>
          <w:p w14:paraId="6F649E36" w14:textId="09CDE346" w:rsidR="00B36BE6" w:rsidRPr="00C641A7" w:rsidRDefault="30EE2AB0" w:rsidP="00B36BE6">
            <w:pPr>
              <w:pStyle w:val="Default"/>
              <w:jc w:val="both"/>
              <w:rPr>
                <w:rFonts w:ascii="Times New Roman" w:hAnsi="Times New Roman" w:cs="Times New Roman"/>
                <w:color w:val="auto"/>
                <w:vertAlign w:val="superscript"/>
              </w:rPr>
            </w:pPr>
            <w:r w:rsidRPr="3EE41C98">
              <w:rPr>
                <w:rFonts w:ascii="Times New Roman" w:hAnsi="Times New Roman" w:cs="Times New Roman"/>
                <w:color w:val="auto"/>
              </w:rPr>
              <w:t>VÕS § 403</w:t>
            </w:r>
            <w:r w:rsidRPr="3EE41C98">
              <w:rPr>
                <w:rFonts w:ascii="Times New Roman" w:hAnsi="Times New Roman" w:cs="Times New Roman"/>
                <w:color w:val="auto"/>
                <w:vertAlign w:val="superscript"/>
              </w:rPr>
              <w:t>4</w:t>
            </w:r>
            <w:r w:rsidRPr="3EE41C98">
              <w:rPr>
                <w:rFonts w:ascii="Times New Roman" w:hAnsi="Times New Roman" w:cs="Times New Roman"/>
                <w:color w:val="auto"/>
              </w:rPr>
              <w:t xml:space="preserve"> lg 4 -</w:t>
            </w:r>
            <w:r w:rsidR="7090CFAB" w:rsidRPr="3EE41C98">
              <w:rPr>
                <w:rFonts w:ascii="Times New Roman" w:hAnsi="Times New Roman" w:cs="Times New Roman"/>
                <w:color w:val="auto"/>
              </w:rPr>
              <w:t xml:space="preserve"> praegune VÕS § 403</w:t>
            </w:r>
            <w:r w:rsidR="22B09323" w:rsidRPr="3EE41C98">
              <w:rPr>
                <w:rFonts w:ascii="Times New Roman" w:hAnsi="Times New Roman" w:cs="Times New Roman"/>
                <w:color w:val="auto"/>
                <w:vertAlign w:val="superscript"/>
              </w:rPr>
              <w:t>4</w:t>
            </w:r>
            <w:r w:rsidR="7090CFAB" w:rsidRPr="3EE41C98">
              <w:rPr>
                <w:rFonts w:ascii="Times New Roman" w:hAnsi="Times New Roman" w:cs="Times New Roman"/>
                <w:color w:val="auto"/>
              </w:rPr>
              <w:t xml:space="preserve"> lõige 3 ja 4 rõhutavad peamiselt krediidiandja kohustust teavitada tarbijat vajalikust teabest/tõenditest, kontrollida esitatud andmeid ja teha nõuetekohane hindamine. Tarbija kohustus esitada õige ja täielik teave on küll VÕS § 403</w:t>
            </w:r>
            <w:r w:rsidR="22B09323" w:rsidRPr="3EE41C98">
              <w:rPr>
                <w:rFonts w:ascii="Times New Roman" w:hAnsi="Times New Roman" w:cs="Times New Roman"/>
                <w:color w:val="auto"/>
                <w:vertAlign w:val="superscript"/>
              </w:rPr>
              <w:t>4</w:t>
            </w:r>
            <w:r w:rsidR="618874EC" w:rsidRPr="3EE41C98">
              <w:rPr>
                <w:rFonts w:ascii="Times New Roman" w:hAnsi="Times New Roman" w:cs="Times New Roman"/>
                <w:color w:val="auto"/>
                <w:vertAlign w:val="superscript"/>
              </w:rPr>
              <w:t xml:space="preserve"> </w:t>
            </w:r>
            <w:r w:rsidR="7090CFAB" w:rsidRPr="3EE41C98">
              <w:rPr>
                <w:rFonts w:ascii="Times New Roman" w:hAnsi="Times New Roman" w:cs="Times New Roman"/>
                <w:color w:val="auto"/>
              </w:rPr>
              <w:t>lõike 3 sõnastuses sees, aga see on pigem deklaratiivne, kuna sanktsioonid ja tagajärjed puuduvad.</w:t>
            </w:r>
            <w:r w:rsidR="22B09323" w:rsidRPr="3EE41C98">
              <w:rPr>
                <w:rFonts w:ascii="Times New Roman" w:hAnsi="Times New Roman" w:cs="Times New Roman"/>
                <w:color w:val="auto"/>
              </w:rPr>
              <w:t xml:space="preserve"> Leiame, et tuleks välja </w:t>
            </w:r>
            <w:r w:rsidR="22B09323" w:rsidRPr="3EE41C98">
              <w:rPr>
                <w:rFonts w:ascii="Times New Roman" w:hAnsi="Times New Roman" w:cs="Times New Roman"/>
                <w:color w:val="auto"/>
              </w:rPr>
              <w:lastRenderedPageBreak/>
              <w:t xml:space="preserve">töötada selge õiguslik tagajärg juhuks, kui tarbija enda kohustusi ei täida, </w:t>
            </w:r>
          </w:p>
          <w:p w14:paraId="02167BE0" w14:textId="77777777" w:rsidR="00B36BE6" w:rsidRPr="00B36BE6" w:rsidRDefault="00B36BE6" w:rsidP="00B36BE6">
            <w:pPr>
              <w:pStyle w:val="Default"/>
              <w:jc w:val="both"/>
              <w:rPr>
                <w:rFonts w:ascii="Times New Roman" w:hAnsi="Times New Roman" w:cs="Times New Roman"/>
                <w:color w:val="auto"/>
              </w:rPr>
            </w:pPr>
            <w:r w:rsidRPr="00B36BE6">
              <w:rPr>
                <w:rFonts w:ascii="Times New Roman" w:hAnsi="Times New Roman" w:cs="Times New Roman"/>
                <w:color w:val="auto"/>
              </w:rPr>
              <w:t>näiteks:</w:t>
            </w:r>
          </w:p>
          <w:p w14:paraId="4B5C0A63" w14:textId="77777777" w:rsidR="00B36BE6" w:rsidRDefault="00B36BE6" w:rsidP="00B36BE6">
            <w:pPr>
              <w:pStyle w:val="Default"/>
              <w:numPr>
                <w:ilvl w:val="0"/>
                <w:numId w:val="24"/>
              </w:numPr>
              <w:jc w:val="both"/>
              <w:rPr>
                <w:rFonts w:ascii="Times New Roman" w:hAnsi="Times New Roman" w:cs="Times New Roman"/>
                <w:color w:val="auto"/>
              </w:rPr>
            </w:pPr>
            <w:r w:rsidRPr="00B36BE6">
              <w:rPr>
                <w:rFonts w:ascii="Times New Roman" w:hAnsi="Times New Roman" w:cs="Times New Roman"/>
                <w:color w:val="auto"/>
              </w:rPr>
              <w:t>sätestama, et kui tarbija esitab tahtlikult valeandmeid, võib krediidiandja tugineda sellele</w:t>
            </w:r>
            <w:r>
              <w:rPr>
                <w:rFonts w:ascii="Times New Roman" w:hAnsi="Times New Roman" w:cs="Times New Roman"/>
                <w:color w:val="auto"/>
              </w:rPr>
              <w:t xml:space="preserve"> </w:t>
            </w:r>
            <w:r w:rsidRPr="00B36BE6">
              <w:rPr>
                <w:rFonts w:ascii="Times New Roman" w:hAnsi="Times New Roman" w:cs="Times New Roman"/>
                <w:color w:val="auto"/>
              </w:rPr>
              <w:t>lepingu tühistamisel või vastutuse piiramisel;</w:t>
            </w:r>
          </w:p>
          <w:p w14:paraId="1A6991A5" w14:textId="1B44D97A" w:rsidR="00326DE0" w:rsidRPr="00B36BE6" w:rsidRDefault="00B36BE6" w:rsidP="00B36BE6">
            <w:pPr>
              <w:pStyle w:val="Default"/>
              <w:numPr>
                <w:ilvl w:val="0"/>
                <w:numId w:val="24"/>
              </w:numPr>
              <w:jc w:val="both"/>
              <w:rPr>
                <w:rFonts w:ascii="Times New Roman" w:hAnsi="Times New Roman" w:cs="Times New Roman"/>
                <w:color w:val="auto"/>
              </w:rPr>
            </w:pPr>
            <w:r w:rsidRPr="00B36BE6">
              <w:rPr>
                <w:rFonts w:ascii="Times New Roman" w:hAnsi="Times New Roman" w:cs="Times New Roman"/>
                <w:color w:val="auto"/>
              </w:rPr>
              <w:t>või sätestama, et krediidiandja ei vastuta krediidivõimelisuse hindamise rikkumise eest ulatuses, milles rikkumine on põhjuslikus seoses tarbija teadlikult vale teabega (täna osaliselt kehtib selline põhimõte, kuid selgesõnaliselt tarbija vastutus sõnastada).</w:t>
            </w:r>
            <w:r w:rsidR="00C03164" w:rsidRPr="00B36BE6">
              <w:rPr>
                <w:rFonts w:ascii="Times New Roman" w:hAnsi="Times New Roman" w:cs="Times New Roman"/>
                <w:color w:val="auto"/>
              </w:rPr>
              <w:t xml:space="preserve">                                                                                </w:t>
            </w:r>
          </w:p>
        </w:tc>
        <w:tc>
          <w:tcPr>
            <w:tcW w:w="5016" w:type="dxa"/>
          </w:tcPr>
          <w:p w14:paraId="7A91D999" w14:textId="1E5F51FE" w:rsidR="00326DE0" w:rsidRPr="00C7376A" w:rsidRDefault="535CAD70" w:rsidP="3EE41C98">
            <w:pPr>
              <w:rPr>
                <w:rFonts w:eastAsia="Times New Roman"/>
                <w:b/>
                <w:bCs/>
              </w:rPr>
            </w:pPr>
            <w:r w:rsidRPr="3EE41C98">
              <w:rPr>
                <w:rFonts w:eastAsia="Times New Roman"/>
                <w:b/>
                <w:bCs/>
              </w:rPr>
              <w:lastRenderedPageBreak/>
              <w:t>Arvestatud osaliselt / selgitatud.</w:t>
            </w:r>
          </w:p>
          <w:p w14:paraId="4B4E83A1" w14:textId="136F2966" w:rsidR="00326DE0" w:rsidRPr="00C7376A" w:rsidRDefault="535CAD70" w:rsidP="3EE41C98">
            <w:pPr>
              <w:rPr>
                <w:rFonts w:eastAsia="Times New Roman"/>
              </w:rPr>
            </w:pPr>
            <w:r w:rsidRPr="3EE41C98">
              <w:rPr>
                <w:rFonts w:eastAsia="Times New Roman"/>
              </w:rPr>
              <w:t xml:space="preserve">Esiteks. Ka kehtivas õiguses on seaduse mõte olnud </w:t>
            </w:r>
            <w:r w:rsidR="6AD45473" w:rsidRPr="3EE41C98">
              <w:rPr>
                <w:rFonts w:eastAsia="Times New Roman"/>
              </w:rPr>
              <w:t xml:space="preserve">see, et vastutustundliku laenamise põhimõtte juures on kohustused mõlemal poolel. Krediidiandja peab koguma hinnangu andmiseks vajaliku teabe ja tarbijat selle teabe esitamisel juhendama. Tarbijal on tulenevalt </w:t>
            </w:r>
            <w:r w:rsidR="7E1BF5F1" w:rsidRPr="51842161">
              <w:t>§ 403</w:t>
            </w:r>
            <w:r w:rsidR="7E1BF5F1" w:rsidRPr="51842161">
              <w:rPr>
                <w:vertAlign w:val="superscript"/>
              </w:rPr>
              <w:t>4</w:t>
            </w:r>
            <w:r w:rsidR="7E1BF5F1" w:rsidRPr="51842161">
              <w:t xml:space="preserve"> l</w:t>
            </w:r>
            <w:r w:rsidR="430A48D3" w:rsidRPr="51842161">
              <w:t>õigetest</w:t>
            </w:r>
            <w:r w:rsidR="7E1BF5F1" w:rsidRPr="51842161">
              <w:t xml:space="preserve"> 3 ja 4 </w:t>
            </w:r>
            <w:r w:rsidR="4951DF40" w:rsidRPr="51842161">
              <w:t>ning</w:t>
            </w:r>
            <w:r w:rsidR="6AD45473" w:rsidRPr="3EE41C98">
              <w:rPr>
                <w:rFonts w:eastAsia="Times New Roman"/>
              </w:rPr>
              <w:t xml:space="preserve"> § 14 </w:t>
            </w:r>
            <w:r w:rsidR="10946792" w:rsidRPr="51842161">
              <w:rPr>
                <w:rFonts w:eastAsia="Times New Roman"/>
              </w:rPr>
              <w:t>lõikes</w:t>
            </w:r>
            <w:r w:rsidR="0A4D185B" w:rsidRPr="51842161">
              <w:rPr>
                <w:rFonts w:eastAsia="Times New Roman"/>
              </w:rPr>
              <w:t>t</w:t>
            </w:r>
            <w:r w:rsidR="6AD45473" w:rsidRPr="3EE41C98">
              <w:rPr>
                <w:rFonts w:eastAsia="Times New Roman"/>
              </w:rPr>
              <w:t xml:space="preserve"> 2 kohustus tõest ja täielikku </w:t>
            </w:r>
            <w:r w:rsidR="6AD45473" w:rsidRPr="3EE41C98">
              <w:rPr>
                <w:rFonts w:eastAsia="Times New Roman"/>
              </w:rPr>
              <w:lastRenderedPageBreak/>
              <w:t xml:space="preserve">teavet esitada. </w:t>
            </w:r>
            <w:r w:rsidR="2088EA43" w:rsidRPr="3EE41C98">
              <w:rPr>
                <w:rFonts w:eastAsia="Times New Roman"/>
              </w:rPr>
              <w:t xml:space="preserve">Eelnõu kooskõlastamise järgselt on aga vastavaid märkusi arvestades eelnõu sõnastust </w:t>
            </w:r>
            <w:r w:rsidR="79DA1331" w:rsidRPr="3EE41C98">
              <w:rPr>
                <w:rFonts w:eastAsia="Times New Roman"/>
              </w:rPr>
              <w:t>täpsustatud, nii et VÕS § 403</w:t>
            </w:r>
            <w:r w:rsidR="79DA1331" w:rsidRPr="3EE41C98">
              <w:rPr>
                <w:rFonts w:eastAsia="Times New Roman"/>
                <w:vertAlign w:val="superscript"/>
              </w:rPr>
              <w:t xml:space="preserve">4 </w:t>
            </w:r>
            <w:r w:rsidR="79DA1331" w:rsidRPr="3EE41C98">
              <w:rPr>
                <w:rFonts w:eastAsia="Times New Roman"/>
              </w:rPr>
              <w:t>lõikes 4 oleks otsesõnu kirjas “</w:t>
            </w:r>
            <w:r w:rsidR="79DA1331" w:rsidRPr="3EE41C98">
              <w:rPr>
                <w:rFonts w:eastAsia="Times New Roman"/>
                <w:i/>
                <w:iCs/>
              </w:rPr>
              <w:t>tarbija on</w:t>
            </w:r>
            <w:r w:rsidR="79DA1331" w:rsidRPr="3EE41C98">
              <w:rPr>
                <w:rFonts w:eastAsia="Times New Roman"/>
              </w:rPr>
              <w:t xml:space="preserve"> </w:t>
            </w:r>
            <w:r w:rsidR="79DA1331" w:rsidRPr="3EE41C98">
              <w:rPr>
                <w:rFonts w:eastAsia="Times New Roman"/>
                <w:i/>
                <w:iCs/>
              </w:rPr>
              <w:t>kohustatud</w:t>
            </w:r>
            <w:r w:rsidR="79DA1331" w:rsidRPr="3EE41C98">
              <w:rPr>
                <w:rFonts w:eastAsia="Times New Roman"/>
              </w:rPr>
              <w:t>”</w:t>
            </w:r>
            <w:r w:rsidR="2088EA43" w:rsidRPr="3EE41C98">
              <w:rPr>
                <w:rFonts w:eastAsia="Times New Roman"/>
              </w:rPr>
              <w:t xml:space="preserve">. </w:t>
            </w:r>
            <w:r w:rsidR="04EA5392" w:rsidRPr="3EE41C98">
              <w:rPr>
                <w:rFonts w:eastAsia="Times New Roman"/>
              </w:rPr>
              <w:t xml:space="preserve">Justiits- ja Digiministeerium rõhutab aga, et tegemist ei ole sisulise muudatusega, kuna see on ka kehtiva regulatsiooni mõte. </w:t>
            </w:r>
          </w:p>
          <w:p w14:paraId="4C35F15D" w14:textId="017D0A44" w:rsidR="00326DE0" w:rsidRPr="00C7376A" w:rsidRDefault="00326DE0" w:rsidP="3EE41C98">
            <w:pPr>
              <w:rPr>
                <w:rFonts w:eastAsia="Times New Roman"/>
              </w:rPr>
            </w:pPr>
          </w:p>
          <w:p w14:paraId="5F051D56" w14:textId="275DB58A" w:rsidR="00326DE0" w:rsidRPr="00C7376A" w:rsidRDefault="49348FAE" w:rsidP="3EE41C98">
            <w:pPr>
              <w:rPr>
                <w:rFonts w:eastAsia="Times New Roman"/>
              </w:rPr>
            </w:pPr>
            <w:r w:rsidRPr="3EE41C98">
              <w:rPr>
                <w:rFonts w:eastAsia="Times New Roman"/>
              </w:rPr>
              <w:t xml:space="preserve">Teiseks. Kehtivas õiguses on juba ka ette nähtud </w:t>
            </w:r>
            <w:r w:rsidR="3D5BAC1F" w:rsidRPr="3EE41C98">
              <w:rPr>
                <w:rFonts w:eastAsia="Times New Roman"/>
              </w:rPr>
              <w:t xml:space="preserve">tarbija kohustuste tahtliku rikkumise tarbeks </w:t>
            </w:r>
            <w:r w:rsidRPr="3EE41C98">
              <w:rPr>
                <w:rFonts w:eastAsia="Times New Roman"/>
              </w:rPr>
              <w:t xml:space="preserve">sanktsioon, mille kohaselt on krediidiandjal õigus leping üles öelda, kui tarbija </w:t>
            </w:r>
            <w:r w:rsidR="0731C388" w:rsidRPr="3EE41C98">
              <w:rPr>
                <w:rFonts w:eastAsia="Times New Roman"/>
              </w:rPr>
              <w:t xml:space="preserve">krediidiandja ei saanud tarbija krediidivõimelisust õigesti hinnata, sest tarbija jättis teadlikult esitamata </w:t>
            </w:r>
            <w:r w:rsidR="1CE22DCE" w:rsidRPr="51842161">
              <w:rPr>
                <w:rFonts w:eastAsia="Times New Roman"/>
              </w:rPr>
              <w:t>VÕS</w:t>
            </w:r>
            <w:r w:rsidR="0C2E85CC" w:rsidRPr="51842161">
              <w:rPr>
                <w:rFonts w:eastAsia="Times New Roman"/>
              </w:rPr>
              <w:t xml:space="preserve"> §-s 403</w:t>
            </w:r>
            <w:r w:rsidR="0C2E85CC" w:rsidRPr="51842161">
              <w:rPr>
                <w:rFonts w:eastAsia="Times New Roman"/>
                <w:vertAlign w:val="superscript"/>
              </w:rPr>
              <w:t>4</w:t>
            </w:r>
            <w:r w:rsidR="0C2E85CC" w:rsidRPr="51842161">
              <w:rPr>
                <w:rFonts w:eastAsia="Times New Roman"/>
              </w:rPr>
              <w:t xml:space="preserve"> nimetatud teabe või võltsis krediidiandjale esitatud teavet. </w:t>
            </w:r>
            <w:r w:rsidR="490510E1" w:rsidRPr="3EE41C98">
              <w:rPr>
                <w:rFonts w:eastAsia="Times New Roman"/>
              </w:rPr>
              <w:t>Sellisel juhul</w:t>
            </w:r>
            <w:r w:rsidR="0731C388" w:rsidRPr="3EE41C98">
              <w:rPr>
                <w:rFonts w:eastAsia="Times New Roman"/>
              </w:rPr>
              <w:t xml:space="preserve"> ei kohaldata </w:t>
            </w:r>
            <w:r w:rsidR="48368C6C" w:rsidRPr="3EE41C98">
              <w:rPr>
                <w:rFonts w:eastAsia="Times New Roman"/>
              </w:rPr>
              <w:t>ülesütlemisele § 416</w:t>
            </w:r>
            <w:r w:rsidR="0731C388" w:rsidRPr="3EE41C98">
              <w:rPr>
                <w:rFonts w:eastAsia="Times New Roman"/>
              </w:rPr>
              <w:t xml:space="preserve"> lõike 1 esimeses lauses ja lõikes 2 sätestatut.</w:t>
            </w:r>
            <w:r w:rsidR="286FBA8A" w:rsidRPr="3EE41C98">
              <w:rPr>
                <w:rFonts w:eastAsia="Times New Roman"/>
              </w:rPr>
              <w:t xml:space="preserve"> Seetõttu puudub vajadus </w:t>
            </w:r>
            <w:r w:rsidR="4949F50B" w:rsidRPr="3EE41C98">
              <w:rPr>
                <w:rFonts w:eastAsia="Times New Roman"/>
              </w:rPr>
              <w:t>seda</w:t>
            </w:r>
            <w:r w:rsidR="286FBA8A" w:rsidRPr="3EE41C98">
              <w:rPr>
                <w:rFonts w:eastAsia="Times New Roman"/>
              </w:rPr>
              <w:t xml:space="preserve"> </w:t>
            </w:r>
            <w:r w:rsidR="4949F50B" w:rsidRPr="3EE41C98">
              <w:rPr>
                <w:rFonts w:eastAsia="Times New Roman"/>
              </w:rPr>
              <w:t>küsimust eelnõus täiendavalt üle korrata.</w:t>
            </w:r>
          </w:p>
        </w:tc>
      </w:tr>
      <w:tr w:rsidR="00D22FD2" w14:paraId="1FF9ED05" w14:textId="77777777" w:rsidTr="00617FBE">
        <w:tc>
          <w:tcPr>
            <w:tcW w:w="576" w:type="dxa"/>
          </w:tcPr>
          <w:p w14:paraId="2717DF1A" w14:textId="70358785" w:rsidR="00A6167A" w:rsidRPr="00C7376A" w:rsidRDefault="000A6B58" w:rsidP="000179B5">
            <w:pPr>
              <w:jc w:val="center"/>
            </w:pPr>
            <w:r>
              <w:lastRenderedPageBreak/>
              <w:t>5</w:t>
            </w:r>
          </w:p>
        </w:tc>
        <w:tc>
          <w:tcPr>
            <w:tcW w:w="5040" w:type="dxa"/>
          </w:tcPr>
          <w:p w14:paraId="4D3F12D2" w14:textId="62F7C81D" w:rsidR="00A6167A" w:rsidRDefault="00A6167A" w:rsidP="00A6167A">
            <w:pPr>
              <w:pStyle w:val="Default"/>
              <w:jc w:val="both"/>
              <w:rPr>
                <w:rFonts w:ascii="Times New Roman" w:hAnsi="Times New Roman" w:cs="Times New Roman"/>
                <w:color w:val="auto"/>
              </w:rPr>
            </w:pPr>
            <w:r w:rsidRPr="00A6167A">
              <w:rPr>
                <w:rFonts w:ascii="Times New Roman" w:hAnsi="Times New Roman" w:cs="Times New Roman"/>
                <w:color w:val="auto"/>
              </w:rPr>
              <w:t>VÕS § 403</w:t>
            </w:r>
            <w:r>
              <w:rPr>
                <w:rFonts w:ascii="Times New Roman" w:hAnsi="Times New Roman" w:cs="Times New Roman"/>
                <w:color w:val="auto"/>
                <w:vertAlign w:val="superscript"/>
              </w:rPr>
              <w:t>4</w:t>
            </w:r>
            <w:r>
              <w:rPr>
                <w:rFonts w:ascii="Times New Roman" w:hAnsi="Times New Roman" w:cs="Times New Roman"/>
                <w:color w:val="auto"/>
              </w:rPr>
              <w:t xml:space="preserve"> l</w:t>
            </w:r>
            <w:r w:rsidRPr="00A6167A">
              <w:rPr>
                <w:rFonts w:ascii="Times New Roman" w:hAnsi="Times New Roman" w:cs="Times New Roman"/>
                <w:color w:val="auto"/>
              </w:rPr>
              <w:t>õike 9 muutmisega seoses juhib Finantsinspektsioon esmalt tähelepanu, et CCDII artikkel 18 lõige 10 ei kasuta sõnastust, mille kohaselt tuleks lepingu kehtivuse ajal tarbija krediidivõimelisust uuesti hinnata olukorras, kus krediidisummat või ülempiiri muudetakse „märkimisväärselt“. Täna kehtiv VÕS § 4034</w:t>
            </w:r>
            <w:r w:rsidR="0039776D">
              <w:rPr>
                <w:rFonts w:ascii="Times New Roman" w:hAnsi="Times New Roman" w:cs="Times New Roman"/>
                <w:color w:val="auto"/>
              </w:rPr>
              <w:t xml:space="preserve"> </w:t>
            </w:r>
            <w:r w:rsidRPr="00A6167A">
              <w:rPr>
                <w:rFonts w:ascii="Times New Roman" w:hAnsi="Times New Roman" w:cs="Times New Roman"/>
                <w:color w:val="auto"/>
              </w:rPr>
              <w:t>lõige 9 on CCDII artikkel 18 lõikes 10 tooduga selles osas kooskõlas. Seda arvestades palume kaaluda sõna „märkimisväärses“ eelnõust eemaldamist.</w:t>
            </w:r>
          </w:p>
          <w:p w14:paraId="12C9759C" w14:textId="7D79D3D2" w:rsidR="006A17DA" w:rsidRPr="006A17DA" w:rsidRDefault="006A17DA" w:rsidP="006A17DA">
            <w:pPr>
              <w:pStyle w:val="Default"/>
              <w:jc w:val="both"/>
              <w:rPr>
                <w:rFonts w:ascii="Times New Roman" w:hAnsi="Times New Roman" w:cs="Times New Roman"/>
                <w:color w:val="auto"/>
              </w:rPr>
            </w:pPr>
            <w:r w:rsidRPr="006A17DA">
              <w:rPr>
                <w:rFonts w:ascii="Times New Roman" w:hAnsi="Times New Roman" w:cs="Times New Roman"/>
                <w:color w:val="auto"/>
              </w:rPr>
              <w:t>Teiseks ei ole selline täiendav kriteerium vajalik ka süsteemsest vaatepunktist. Kehtiv VÕS § 403</w:t>
            </w:r>
            <w:r>
              <w:rPr>
                <w:rFonts w:ascii="Times New Roman" w:hAnsi="Times New Roman" w:cs="Times New Roman"/>
                <w:color w:val="auto"/>
                <w:vertAlign w:val="superscript"/>
              </w:rPr>
              <w:t>4</w:t>
            </w:r>
            <w:r>
              <w:rPr>
                <w:rFonts w:ascii="Times New Roman" w:hAnsi="Times New Roman" w:cs="Times New Roman"/>
                <w:color w:val="auto"/>
              </w:rPr>
              <w:t xml:space="preserve"> </w:t>
            </w:r>
            <w:r w:rsidRPr="006A17DA">
              <w:rPr>
                <w:rFonts w:ascii="Times New Roman" w:hAnsi="Times New Roman" w:cs="Times New Roman"/>
                <w:color w:val="auto"/>
              </w:rPr>
              <w:t>lõige 9 on juba kooskõlas direktiivi regulatsiooniga ning tagab krediidivõimelisuse hindamise kohustuse olukorras, kus krediidisummat või krediidilimiiti muudetakse. Regulatsioon on selge, st krediidisumma või ülempiiri muudatus toob kaasa hindamiskohustuse, ilma et peaks andma hinnangut muudatuse olulisusele. Kriteerium, mis seob hindamiskohustuse konkreetse õigusliku faktiga</w:t>
            </w:r>
          </w:p>
          <w:p w14:paraId="59D69EC4" w14:textId="33C328F6" w:rsidR="00A6167A" w:rsidRPr="003464DF" w:rsidRDefault="006A17DA" w:rsidP="006A17DA">
            <w:pPr>
              <w:pStyle w:val="Default"/>
              <w:jc w:val="both"/>
              <w:rPr>
                <w:rFonts w:ascii="Times New Roman" w:hAnsi="Times New Roman" w:cs="Times New Roman"/>
                <w:color w:val="auto"/>
              </w:rPr>
            </w:pPr>
            <w:r w:rsidRPr="006A17DA">
              <w:rPr>
                <w:rFonts w:ascii="Times New Roman" w:hAnsi="Times New Roman" w:cs="Times New Roman"/>
                <w:color w:val="auto"/>
              </w:rPr>
              <w:t xml:space="preserve">(krediidisumma või ülempiiri muutmine), on kontrollitav ja üheselt mõistetav. „Märkimisväärse“ lisamine muudaks normi kohaldamise hinnanguliseks ning suurendaks vaidluste arvu, ilma et see annaks täiendavat kasu. Kui krediidiandja peab hindama, kas muudatus on „märkimisväärne“, tekib vaidlusruum selle üle, millal hindamiskohustus üldse kehtib. See võib </w:t>
            </w:r>
            <w:r w:rsidRPr="006A17DA">
              <w:rPr>
                <w:rFonts w:ascii="Times New Roman" w:hAnsi="Times New Roman" w:cs="Times New Roman"/>
                <w:color w:val="auto"/>
              </w:rPr>
              <w:lastRenderedPageBreak/>
              <w:t>viia olukorrani, kus krediidivõimelisuse uut hindamist ei tehta põhjendusel, et muudatus ei olnud piisavalt suur, kuigi tarbija krediidivõimelisus ja võime tagasimakseid teostada on objektiivselt muutunud</w:t>
            </w:r>
            <w:r>
              <w:rPr>
                <w:rFonts w:ascii="Times New Roman" w:hAnsi="Times New Roman" w:cs="Times New Roman"/>
                <w:color w:val="auto"/>
              </w:rPr>
              <w:t>.</w:t>
            </w:r>
          </w:p>
        </w:tc>
        <w:tc>
          <w:tcPr>
            <w:tcW w:w="5016" w:type="dxa"/>
          </w:tcPr>
          <w:p w14:paraId="5ECFE6F3" w14:textId="69410805" w:rsidR="579F4CE1" w:rsidRDefault="579F4CE1" w:rsidP="178B8483">
            <w:pPr>
              <w:rPr>
                <w:b/>
                <w:bCs/>
              </w:rPr>
            </w:pPr>
            <w:r w:rsidRPr="178B8483">
              <w:rPr>
                <w:b/>
                <w:bCs/>
              </w:rPr>
              <w:lastRenderedPageBreak/>
              <w:t>Mittearvestatud / selgitatud</w:t>
            </w:r>
          </w:p>
          <w:p w14:paraId="1995B97F" w14:textId="1807A4D9" w:rsidR="00A6167A" w:rsidRPr="00C7376A" w:rsidRDefault="579F4CE1" w:rsidP="000179B5">
            <w:r>
              <w:t xml:space="preserve">Muudatus on vajalik direktiivi </w:t>
            </w:r>
            <w:r w:rsidR="00B46F10">
              <w:t>art</w:t>
            </w:r>
            <w:r w:rsidR="2E0E2F58">
              <w:t>ikli</w:t>
            </w:r>
            <w:r w:rsidR="00B46F10">
              <w:t xml:space="preserve"> 18 lg 10</w:t>
            </w:r>
            <w:r w:rsidR="5BDADFCA">
              <w:t xml:space="preserve"> ülevõtmiseks, milles on sõnaselgelt viidatud just</w:t>
            </w:r>
            <w:r w:rsidR="00B46F10">
              <w:t xml:space="preserve"> </w:t>
            </w:r>
            <w:r w:rsidR="3A041BA8">
              <w:t xml:space="preserve">krediidisumma või krediidi ülempiiri </w:t>
            </w:r>
            <w:r w:rsidR="00B46F10">
              <w:t>märkimisväär</w:t>
            </w:r>
            <w:r w:rsidR="4D0E58EF">
              <w:t>sele muutmisele.</w:t>
            </w:r>
            <w:r w:rsidR="00B46F10">
              <w:t xml:space="preserve"> </w:t>
            </w:r>
            <w:r w:rsidR="75E525AB">
              <w:t xml:space="preserve">Isegi kui </w:t>
            </w:r>
            <w:r w:rsidR="0D917D4A">
              <w:t xml:space="preserve">Finantsinspektsiooni </w:t>
            </w:r>
            <w:r w:rsidR="75E525AB">
              <w:t xml:space="preserve">sisulised põhjendused on </w:t>
            </w:r>
            <w:r w:rsidR="3FCDB3CE">
              <w:t xml:space="preserve">Justiits- ja Digiministeeriumile </w:t>
            </w:r>
            <w:r w:rsidR="6CCA1631">
              <w:t>mõistetavad</w:t>
            </w:r>
            <w:r w:rsidR="75E525AB">
              <w:t>, siis peame direktiivi korrektseks ülevõtmiseks siiski selle muudatuse ette nägema.</w:t>
            </w:r>
          </w:p>
        </w:tc>
      </w:tr>
      <w:tr w:rsidR="00D22FD2" w14:paraId="467B63A5" w14:textId="77777777" w:rsidTr="00617FBE">
        <w:tc>
          <w:tcPr>
            <w:tcW w:w="576" w:type="dxa"/>
          </w:tcPr>
          <w:p w14:paraId="71905B24" w14:textId="509CE3F0" w:rsidR="007D3FE9" w:rsidRPr="00C7376A" w:rsidRDefault="000A6B58" w:rsidP="000179B5">
            <w:pPr>
              <w:jc w:val="center"/>
            </w:pPr>
            <w:r>
              <w:t>6</w:t>
            </w:r>
          </w:p>
        </w:tc>
        <w:tc>
          <w:tcPr>
            <w:tcW w:w="5040" w:type="dxa"/>
          </w:tcPr>
          <w:p w14:paraId="4A0567B1" w14:textId="6A8CCD6C" w:rsidR="00CB2405" w:rsidRPr="00A6167A" w:rsidRDefault="229EFFC9" w:rsidP="00CB2405">
            <w:pPr>
              <w:pStyle w:val="Default"/>
              <w:jc w:val="both"/>
              <w:rPr>
                <w:rFonts w:ascii="Times New Roman" w:hAnsi="Times New Roman" w:cs="Times New Roman"/>
                <w:color w:val="auto"/>
              </w:rPr>
            </w:pPr>
            <w:r w:rsidRPr="3EE41C98">
              <w:rPr>
                <w:rFonts w:ascii="Times New Roman" w:hAnsi="Times New Roman" w:cs="Times New Roman"/>
                <w:color w:val="auto"/>
              </w:rPr>
              <w:t>VÕS § 404 lg 2</w:t>
            </w:r>
            <w:r w:rsidR="3A55F2A0" w:rsidRPr="3EE41C98">
              <w:rPr>
                <w:rFonts w:ascii="Times New Roman" w:hAnsi="Times New Roman" w:cs="Times New Roman"/>
                <w:color w:val="auto"/>
              </w:rPr>
              <w:t xml:space="preserve"> p 15</w:t>
            </w:r>
            <w:r w:rsidR="6DACC0C0" w:rsidRPr="3EE41C98">
              <w:rPr>
                <w:rFonts w:ascii="Times New Roman" w:hAnsi="Times New Roman" w:cs="Times New Roman"/>
                <w:color w:val="auto"/>
              </w:rPr>
              <w:t xml:space="preserve"> - Finantsinspektsioon palub selgitada, mida sättes on täpselt mõeldud. Eelnõus kasutatud väljend „sotsiaalhoolekande seaduse tähenduses </w:t>
            </w:r>
            <w:proofErr w:type="spellStart"/>
            <w:r w:rsidR="6DACC0C0" w:rsidRPr="3EE41C98">
              <w:rPr>
                <w:rFonts w:ascii="Times New Roman" w:hAnsi="Times New Roman" w:cs="Times New Roman"/>
                <w:color w:val="auto"/>
              </w:rPr>
              <w:t>võlanõustamisteenuse</w:t>
            </w:r>
            <w:proofErr w:type="spellEnd"/>
            <w:r w:rsidR="6DACC0C0" w:rsidRPr="3EE41C98">
              <w:rPr>
                <w:rFonts w:ascii="Times New Roman" w:hAnsi="Times New Roman" w:cs="Times New Roman"/>
                <w:color w:val="auto"/>
              </w:rPr>
              <w:t xml:space="preserve"> osutajate asjakohased kontaktandmed“ ei taga piisavat õigusselgust. Arvestades, et </w:t>
            </w:r>
            <w:proofErr w:type="spellStart"/>
            <w:r w:rsidR="6DACC0C0" w:rsidRPr="3EE41C98">
              <w:rPr>
                <w:rFonts w:ascii="Times New Roman" w:hAnsi="Times New Roman" w:cs="Times New Roman"/>
                <w:color w:val="auto"/>
              </w:rPr>
              <w:t>võlanõustamisteenuse</w:t>
            </w:r>
            <w:proofErr w:type="spellEnd"/>
            <w:r w:rsidR="6DACC0C0" w:rsidRPr="3EE41C98">
              <w:rPr>
                <w:rFonts w:ascii="Times New Roman" w:hAnsi="Times New Roman" w:cs="Times New Roman"/>
                <w:color w:val="auto"/>
              </w:rPr>
              <w:t xml:space="preserve"> korraldamine toimub kohaliku omavalitsuse tasandil, võiks eeldada, et asjakohasus tähendab tarbija elukohajärgse omavalitsuse kontaktandmeid, kuid ebaselgeks jääb, milliseid. Praegusest sõnastusest ei ole selgelt aru saada, kas krediidiandja võib kontaktandmete kohustuse täita lihtsalt viitega nt omavalitsuseveebilehele või peab esitama konkreetse tarbija elukohajärgse teenuse otsesed kontaktandmed (telefon, e-post, aadress).</w:t>
            </w:r>
          </w:p>
        </w:tc>
        <w:tc>
          <w:tcPr>
            <w:tcW w:w="5016" w:type="dxa"/>
          </w:tcPr>
          <w:p w14:paraId="078B3AEF" w14:textId="1E164E8A" w:rsidR="22C047E0" w:rsidRDefault="22C047E0">
            <w:r w:rsidRPr="3EE41C98">
              <w:rPr>
                <w:b/>
                <w:bCs/>
              </w:rPr>
              <w:t>Arvestatud / Selgitatud</w:t>
            </w:r>
            <w:r>
              <w:t xml:space="preserve">. </w:t>
            </w:r>
          </w:p>
          <w:p w14:paraId="4C67D5A1" w14:textId="0E659591" w:rsidR="007D3FE9" w:rsidRPr="00C7376A" w:rsidRDefault="22C047E0" w:rsidP="000179B5">
            <w:r>
              <w:t xml:space="preserve">Eelnõu seletuskirja on täiendatud lisaselgitusega kõnealuse kohustuse täitmise kohta. </w:t>
            </w:r>
            <w:r w:rsidR="4F456798" w:rsidRPr="3EE41C98">
              <w:rPr>
                <w:rFonts w:eastAsia="Times New Roman"/>
                <w:color w:val="000000" w:themeColor="text1"/>
              </w:rPr>
              <w:t>Krediidiandjal ei ole kohustust ise lepingusse kõikvõimalike Eestis tegutsevate võlanõustajate kontaktandmeid lisada</w:t>
            </w:r>
            <w:r w:rsidR="53DAEAE2" w:rsidRPr="51842161">
              <w:rPr>
                <w:rFonts w:eastAsia="Times New Roman"/>
                <w:color w:val="000000" w:themeColor="text1"/>
              </w:rPr>
              <w:t>.</w:t>
            </w:r>
            <w:r w:rsidR="4F456798" w:rsidRPr="3EE41C98">
              <w:rPr>
                <w:rFonts w:eastAsia="Times New Roman"/>
                <w:color w:val="000000" w:themeColor="text1"/>
              </w:rPr>
              <w:t xml:space="preserve"> Tarbija teavitamisel piisab sellest, kui viidata võlanõustajate kontaktandmeid sisaldavale  usaldusväärsele veebilehele, mis lepingu sõlmimise ajal võlanõustamise ja võlanõustajate infot koondab.</w:t>
            </w:r>
            <w:r w:rsidR="7EDAD365" w:rsidRPr="3EE41C98">
              <w:rPr>
                <w:rFonts w:eastAsia="Times New Roman"/>
                <w:color w:val="000000" w:themeColor="text1"/>
              </w:rPr>
              <w:t xml:space="preserve"> </w:t>
            </w:r>
            <w:r w:rsidR="4F456798" w:rsidRPr="3EE41C98">
              <w:rPr>
                <w:rFonts w:eastAsia="Times New Roman"/>
                <w:color w:val="000000" w:themeColor="text1"/>
              </w:rPr>
              <w:t>Eelnõu koostamise ajal on sellisteks veebilehtedeks näiteks Finantsinspektsiooni hallatav minuraha.ee ning võlanõustajate liidu veebileht.</w:t>
            </w:r>
            <w:r w:rsidR="191F4FF7" w:rsidRPr="51842161">
              <w:rPr>
                <w:rFonts w:eastAsia="Times New Roman"/>
                <w:color w:val="000000" w:themeColor="text1"/>
              </w:rPr>
              <w:t xml:space="preserve"> Isegi kui ka seal ei ole ammendavat infot kõikvõimalike </w:t>
            </w:r>
            <w:r w:rsidR="7F76F812" w:rsidRPr="51842161">
              <w:rPr>
                <w:rFonts w:eastAsia="Times New Roman"/>
                <w:color w:val="000000" w:themeColor="text1"/>
              </w:rPr>
              <w:t>võlanõustajate kontaktandmete kohta, siis annab see tarbijale siiski hea ülevaate sellest, kust ta abi saab.</w:t>
            </w:r>
          </w:p>
        </w:tc>
      </w:tr>
      <w:tr w:rsidR="00D22FD2" w14:paraId="1D7253C1" w14:textId="77777777" w:rsidTr="00617FBE">
        <w:tc>
          <w:tcPr>
            <w:tcW w:w="576" w:type="dxa"/>
          </w:tcPr>
          <w:p w14:paraId="792F3A0A" w14:textId="2DE15A4F" w:rsidR="001D1D03" w:rsidRPr="00C7376A" w:rsidRDefault="000A6B58" w:rsidP="000179B5">
            <w:pPr>
              <w:jc w:val="center"/>
            </w:pPr>
            <w:r>
              <w:t>7</w:t>
            </w:r>
          </w:p>
        </w:tc>
        <w:tc>
          <w:tcPr>
            <w:tcW w:w="5040" w:type="dxa"/>
          </w:tcPr>
          <w:p w14:paraId="23D29B5A" w14:textId="25137A83" w:rsidR="001D1D03" w:rsidRPr="001D1D03" w:rsidRDefault="4DA872E1" w:rsidP="001D1D03">
            <w:pPr>
              <w:pStyle w:val="Default"/>
              <w:jc w:val="both"/>
              <w:rPr>
                <w:rFonts w:ascii="Times New Roman" w:hAnsi="Times New Roman" w:cs="Times New Roman"/>
                <w:color w:val="auto"/>
              </w:rPr>
            </w:pPr>
            <w:r w:rsidRPr="2D34D7CD">
              <w:rPr>
                <w:rFonts w:ascii="Times New Roman" w:hAnsi="Times New Roman" w:cs="Times New Roman"/>
                <w:color w:val="auto"/>
              </w:rPr>
              <w:t>VÕS § 409 lg 4</w:t>
            </w:r>
            <w:r w:rsidRPr="2D34D7CD">
              <w:rPr>
                <w:rFonts w:ascii="Times New Roman" w:hAnsi="Times New Roman" w:cs="Times New Roman"/>
                <w:color w:val="auto"/>
                <w:vertAlign w:val="superscript"/>
              </w:rPr>
              <w:t>2</w:t>
            </w:r>
            <w:r w:rsidRPr="2D34D7CD">
              <w:rPr>
                <w:rFonts w:ascii="Times New Roman" w:hAnsi="Times New Roman" w:cs="Times New Roman"/>
                <w:color w:val="auto"/>
              </w:rPr>
              <w:t xml:space="preserve"> - Finantsinspektsioon juhib tähelepanu, et direktiivi korrektseks ülevõtmiseks ei piisa sellest, et sättes viidatakse asja ostu finantseerimisele, kuna „ostu finantseerimiseks sõlmitud krediidileping“ on laiem kui „kauba ostmiseks sõlmitud seotud krediidileping“ (nagu on CCDII artikkel 26 lõikes 3 toodud). Eelnõus esitatud sõnastus ei ole piisavalt täpne, mistõttu Finantsinspektsioon teeb ettepaneku kasutada sõnastust „majanduslikult seotud krediidileping“.</w:t>
            </w:r>
          </w:p>
        </w:tc>
        <w:tc>
          <w:tcPr>
            <w:tcW w:w="5016" w:type="dxa"/>
          </w:tcPr>
          <w:p w14:paraId="0D09FA43" w14:textId="5691862D" w:rsidR="001D1D03" w:rsidRPr="00C7376A" w:rsidRDefault="7F5B6629" w:rsidP="178B8483">
            <w:pPr>
              <w:rPr>
                <w:b/>
                <w:bCs/>
              </w:rPr>
            </w:pPr>
            <w:r w:rsidRPr="178B8483">
              <w:rPr>
                <w:b/>
                <w:bCs/>
              </w:rPr>
              <w:t>Arvestatud</w:t>
            </w:r>
          </w:p>
          <w:p w14:paraId="619EA023" w14:textId="5592C860" w:rsidR="001D1D03" w:rsidRPr="00C7376A" w:rsidRDefault="7F5B6629" w:rsidP="000179B5">
            <w:r>
              <w:t xml:space="preserve">Eelnõu on vastavalt muudetud. </w:t>
            </w:r>
          </w:p>
        </w:tc>
      </w:tr>
      <w:tr w:rsidR="00D22FD2" w14:paraId="3FD891F0" w14:textId="77777777" w:rsidTr="00617FBE">
        <w:tc>
          <w:tcPr>
            <w:tcW w:w="576" w:type="dxa"/>
          </w:tcPr>
          <w:p w14:paraId="415B94D2" w14:textId="395266A9" w:rsidR="00D05EBA" w:rsidRPr="00C7376A" w:rsidRDefault="000A6B58" w:rsidP="000179B5">
            <w:pPr>
              <w:jc w:val="center"/>
            </w:pPr>
            <w:r>
              <w:t>8</w:t>
            </w:r>
          </w:p>
        </w:tc>
        <w:tc>
          <w:tcPr>
            <w:tcW w:w="5040" w:type="dxa"/>
          </w:tcPr>
          <w:p w14:paraId="2CEC0E67" w14:textId="5824B2CB" w:rsidR="00B72D8C" w:rsidRPr="00B72D8C" w:rsidRDefault="00D05EBA" w:rsidP="00B72D8C">
            <w:pPr>
              <w:pStyle w:val="Default"/>
              <w:jc w:val="both"/>
              <w:rPr>
                <w:rFonts w:ascii="Times New Roman" w:hAnsi="Times New Roman" w:cs="Times New Roman"/>
                <w:color w:val="auto"/>
              </w:rPr>
            </w:pPr>
            <w:r w:rsidRPr="00D05EBA">
              <w:rPr>
                <w:rFonts w:ascii="Times New Roman" w:hAnsi="Times New Roman" w:cs="Times New Roman"/>
                <w:color w:val="auto"/>
              </w:rPr>
              <w:t>VÕS § 410 l</w:t>
            </w:r>
            <w:r>
              <w:rPr>
                <w:rFonts w:ascii="Times New Roman" w:hAnsi="Times New Roman" w:cs="Times New Roman"/>
                <w:color w:val="auto"/>
              </w:rPr>
              <w:t xml:space="preserve">g </w:t>
            </w:r>
            <w:r w:rsidRPr="00D05EBA">
              <w:rPr>
                <w:rFonts w:ascii="Times New Roman" w:hAnsi="Times New Roman" w:cs="Times New Roman"/>
                <w:color w:val="auto"/>
              </w:rPr>
              <w:t>1 kehtetuks tunnist</w:t>
            </w:r>
            <w:r>
              <w:rPr>
                <w:rFonts w:ascii="Times New Roman" w:hAnsi="Times New Roman" w:cs="Times New Roman"/>
                <w:color w:val="auto"/>
              </w:rPr>
              <w:t xml:space="preserve">amine - </w:t>
            </w:r>
            <w:r w:rsidR="00B72D8C" w:rsidRPr="00B72D8C">
              <w:rPr>
                <w:rFonts w:ascii="Times New Roman" w:hAnsi="Times New Roman" w:cs="Times New Roman"/>
                <w:color w:val="auto"/>
              </w:rPr>
              <w:t xml:space="preserve">CDII artikkel 20 nõuab, et krediidilepingud ja nende muudatused koostatakse paberil või püsival andmekandjal ja et kõik pooled saavad lepingu koopia. CCDII artikkel 20 lõike 1 sõnastus erineb küll Euroopa Parlamendi ja nõukogu direktiivi 2008/48/EÜ ehk CCDI artiklis 10 toodud sõnastusest, kuid mõte on mõlemas direktiivis sama. </w:t>
            </w:r>
          </w:p>
          <w:p w14:paraId="5C741237" w14:textId="2C824158" w:rsidR="00B72D8C" w:rsidRPr="00B72D8C" w:rsidRDefault="00B72D8C" w:rsidP="00B72D8C">
            <w:pPr>
              <w:pStyle w:val="Default"/>
              <w:jc w:val="both"/>
              <w:rPr>
                <w:rFonts w:ascii="Times New Roman" w:hAnsi="Times New Roman" w:cs="Times New Roman"/>
                <w:color w:val="auto"/>
              </w:rPr>
            </w:pPr>
            <w:r w:rsidRPr="00B72D8C">
              <w:rPr>
                <w:rFonts w:ascii="Times New Roman" w:hAnsi="Times New Roman" w:cs="Times New Roman"/>
                <w:color w:val="auto"/>
              </w:rPr>
              <w:t>CCD II artiklis 20 viidatud vorminõue ei tähenda, et tarbija ei võiks omapoolset tahteavaldust anda sidevahendi teel. Direktiiv ei keela ka sidevahendi teel lepingu sõlmimist või muutmist. Oluline on, et lõpptulemusena oleks leping ise või muudatused paberil või mõnel muul püsival andmekandjal ning et kõik lepingupooled selle koopiaga varustatud.</w:t>
            </w:r>
          </w:p>
          <w:p w14:paraId="63281E52" w14:textId="2182EDFB" w:rsidR="00B72D8C" w:rsidRPr="00B72D8C" w:rsidRDefault="00B72D8C" w:rsidP="00B72D8C">
            <w:pPr>
              <w:pStyle w:val="Default"/>
              <w:jc w:val="both"/>
              <w:rPr>
                <w:rFonts w:ascii="Times New Roman" w:hAnsi="Times New Roman" w:cs="Times New Roman"/>
                <w:color w:val="auto"/>
              </w:rPr>
            </w:pPr>
            <w:r w:rsidRPr="00B72D8C">
              <w:rPr>
                <w:rFonts w:ascii="Times New Roman" w:hAnsi="Times New Roman" w:cs="Times New Roman"/>
                <w:color w:val="auto"/>
              </w:rPr>
              <w:t xml:space="preserve">Lisaks juhib Finantsinspektsioon tähelepanu, et kehtiv VÕS § 404 keskendub tarbija </w:t>
            </w:r>
            <w:r w:rsidRPr="00B72D8C">
              <w:rPr>
                <w:rFonts w:ascii="Times New Roman" w:hAnsi="Times New Roman" w:cs="Times New Roman"/>
                <w:color w:val="auto"/>
              </w:rPr>
              <w:lastRenderedPageBreak/>
              <w:t>tahteavaldusele kohustuste võtmiseks, mis peab olema kirjalikku taasesitamist võimaldavas vormis ja sisaldama konkreetset teavet. See lähenemine on pärand vanemast direktiivist ja VÕS üldosast (VÕS § 9 lepingu sõlmimise kohta tahteavalduste kaudu), aga see tekitab segadust:</w:t>
            </w:r>
          </w:p>
          <w:p w14:paraId="5CB557A7" w14:textId="77777777" w:rsidR="00B72D8C" w:rsidRDefault="00B72D8C" w:rsidP="00B72D8C">
            <w:pPr>
              <w:pStyle w:val="Default"/>
              <w:numPr>
                <w:ilvl w:val="0"/>
                <w:numId w:val="25"/>
              </w:numPr>
              <w:jc w:val="both"/>
              <w:rPr>
                <w:rFonts w:ascii="Times New Roman" w:hAnsi="Times New Roman" w:cs="Times New Roman"/>
                <w:color w:val="auto"/>
              </w:rPr>
            </w:pPr>
            <w:r w:rsidRPr="00B72D8C">
              <w:rPr>
                <w:rFonts w:ascii="Times New Roman" w:hAnsi="Times New Roman" w:cs="Times New Roman"/>
                <w:color w:val="auto"/>
              </w:rPr>
              <w:t xml:space="preserve">CCDII artikli 20 lõige 1 nõuab selgelt, et krediidilepingud (ja muudatused) koostatakse paberil või muul püsival andmekandjal ning kõik pooled saavad koopia; </w:t>
            </w:r>
          </w:p>
          <w:p w14:paraId="39269708" w14:textId="77777777" w:rsidR="00B72D8C" w:rsidRDefault="00B72D8C" w:rsidP="00B72D8C">
            <w:pPr>
              <w:pStyle w:val="Default"/>
              <w:numPr>
                <w:ilvl w:val="0"/>
                <w:numId w:val="25"/>
              </w:numPr>
              <w:jc w:val="both"/>
              <w:rPr>
                <w:rFonts w:ascii="Times New Roman" w:hAnsi="Times New Roman" w:cs="Times New Roman"/>
                <w:color w:val="auto"/>
              </w:rPr>
            </w:pPr>
            <w:r w:rsidRPr="00B72D8C">
              <w:rPr>
                <w:rFonts w:ascii="Times New Roman" w:hAnsi="Times New Roman" w:cs="Times New Roman"/>
                <w:color w:val="auto"/>
              </w:rPr>
              <w:t xml:space="preserve">see on lepingu enda vorminõue, mitte ühe poole (tarbija) tahteavalduse nõue; </w:t>
            </w:r>
          </w:p>
          <w:p w14:paraId="5EF179F9" w14:textId="108D4576" w:rsidR="00B72D8C" w:rsidRPr="00B72D8C" w:rsidRDefault="00B72D8C" w:rsidP="00B72D8C">
            <w:pPr>
              <w:pStyle w:val="Default"/>
              <w:numPr>
                <w:ilvl w:val="0"/>
                <w:numId w:val="25"/>
              </w:numPr>
              <w:jc w:val="both"/>
              <w:rPr>
                <w:rFonts w:ascii="Times New Roman" w:hAnsi="Times New Roman" w:cs="Times New Roman"/>
                <w:color w:val="auto"/>
              </w:rPr>
            </w:pPr>
            <w:r w:rsidRPr="00B72D8C">
              <w:rPr>
                <w:rFonts w:ascii="Times New Roman" w:hAnsi="Times New Roman" w:cs="Times New Roman"/>
                <w:color w:val="auto"/>
              </w:rPr>
              <w:t>praegune VÕS sõnastus võib jätta mulje, nagu oleks vorminõue seotud peamiselt tarbija „avaldusega“, mitte lõpliku lepinguga.</w:t>
            </w:r>
          </w:p>
          <w:p w14:paraId="71691347" w14:textId="4E2A7460" w:rsidR="00D05EBA" w:rsidRPr="001D1D03" w:rsidRDefault="00B72D8C" w:rsidP="00B72D8C">
            <w:pPr>
              <w:pStyle w:val="Default"/>
              <w:jc w:val="both"/>
              <w:rPr>
                <w:rFonts w:ascii="Times New Roman" w:hAnsi="Times New Roman" w:cs="Times New Roman"/>
                <w:color w:val="auto"/>
              </w:rPr>
            </w:pPr>
            <w:r w:rsidRPr="00B72D8C">
              <w:rPr>
                <w:rFonts w:ascii="Times New Roman" w:hAnsi="Times New Roman" w:cs="Times New Roman"/>
                <w:color w:val="auto"/>
              </w:rPr>
              <w:t>Kui VÕS § 404 ümber sõnastada, loobudes rõhust „tarbija tahteavaldusele“ ja asendades selle lepingu vorminõudega, oleks seaduses toodud tekst samal ajal lihtsam ja ka direktiivis toodule lähemal.</w:t>
            </w:r>
          </w:p>
        </w:tc>
        <w:tc>
          <w:tcPr>
            <w:tcW w:w="5016" w:type="dxa"/>
          </w:tcPr>
          <w:p w14:paraId="23191335" w14:textId="45F0419C" w:rsidR="00D05EBA" w:rsidRPr="00C7376A" w:rsidRDefault="2FF117FF" w:rsidP="5EE03730">
            <w:pPr>
              <w:rPr>
                <w:b/>
                <w:bCs/>
              </w:rPr>
            </w:pPr>
            <w:r w:rsidRPr="5EE03730">
              <w:rPr>
                <w:b/>
                <w:bCs/>
              </w:rPr>
              <w:lastRenderedPageBreak/>
              <w:t>Arvestatud osaliselt / selgitatud.</w:t>
            </w:r>
          </w:p>
          <w:p w14:paraId="0A6BD146" w14:textId="29C59532" w:rsidR="00D05EBA" w:rsidRPr="00C7376A" w:rsidRDefault="2FF117FF" w:rsidP="5EE03730">
            <w:pPr>
              <w:rPr>
                <w:rFonts w:eastAsia="Times New Roman"/>
              </w:rPr>
            </w:pPr>
            <w:r w:rsidRPr="5EE03730">
              <w:t>VÕS § 410 seletuskirja on täiendatud selgitustega selle kohta, et k</w:t>
            </w:r>
            <w:r w:rsidRPr="5EE03730">
              <w:rPr>
                <w:rFonts w:eastAsia="Times New Roman"/>
              </w:rPr>
              <w:t>a edaspidi saab tarbijakrediidilepingu sõlmida sidevahendi abil, kasutades pooltevahelises suhtluses mõnda sellist sidevahendit, mis võimaldab järgida VÕS § 404 sätestatud vorminõuet, näiteks on endiselt võimalik lepingu sõlmimine e-kirja teel.</w:t>
            </w:r>
            <w:r w:rsidR="1C2C84BB" w:rsidRPr="5EE03730">
              <w:rPr>
                <w:rFonts w:eastAsia="Times New Roman"/>
              </w:rPr>
              <w:t xml:space="preserve"> </w:t>
            </w:r>
            <w:r w:rsidR="0FBF2BE5" w:rsidRPr="5EE03730">
              <w:rPr>
                <w:rFonts w:eastAsia="Times New Roman"/>
              </w:rPr>
              <w:t>Oluline on see, et leping sõlmitaks k</w:t>
            </w:r>
            <w:r w:rsidR="2AA5C3C4" w:rsidRPr="5EE03730">
              <w:rPr>
                <w:rFonts w:eastAsia="Times New Roman"/>
              </w:rPr>
              <w:t>irjalikku taasesitamist võimaldavas vormis (või poolte kokkuleppel ka rangemas vormis)</w:t>
            </w:r>
            <w:r w:rsidR="38FBCFCA" w:rsidRPr="5EE03730">
              <w:rPr>
                <w:rFonts w:eastAsia="Times New Roman"/>
              </w:rPr>
              <w:t>, pooltevaheline suhtlus ja ka tahteavalduste vahetamine võib</w:t>
            </w:r>
            <w:r w:rsidR="48AE6F99" w:rsidRPr="5EE03730">
              <w:rPr>
                <w:rFonts w:eastAsia="Times New Roman"/>
              </w:rPr>
              <w:t xml:space="preserve"> aga</w:t>
            </w:r>
            <w:r w:rsidR="38FBCFCA" w:rsidRPr="5EE03730">
              <w:rPr>
                <w:rFonts w:eastAsia="Times New Roman"/>
              </w:rPr>
              <w:t xml:space="preserve"> toimuda sidevahendi teel. VÕS § 410 kehtetuks tunnistamine seda ei muuda. Küll aga tuleb arvestada, et sidevahendi abil ei ole võimalik sõlmida lepingut selliselt, et VÕS § 404 sätestatud vor</w:t>
            </w:r>
            <w:r w:rsidR="29EFF904" w:rsidRPr="5EE03730">
              <w:rPr>
                <w:rFonts w:eastAsia="Times New Roman"/>
              </w:rPr>
              <w:t xml:space="preserve">minõuet ei järgita. Näiteks ei täida suuliselt telefoni teel tahteavalduste väljendamine VÕS § </w:t>
            </w:r>
            <w:r w:rsidR="29EFF904" w:rsidRPr="5EE03730">
              <w:rPr>
                <w:rFonts w:eastAsia="Times New Roman"/>
              </w:rPr>
              <w:lastRenderedPageBreak/>
              <w:t xml:space="preserve">404 </w:t>
            </w:r>
            <w:r w:rsidR="60D225C4" w:rsidRPr="51842161">
              <w:rPr>
                <w:rFonts w:eastAsia="Times New Roman"/>
              </w:rPr>
              <w:t xml:space="preserve">sätestatud </w:t>
            </w:r>
            <w:r w:rsidR="29EFF904" w:rsidRPr="5EE03730">
              <w:rPr>
                <w:rFonts w:eastAsia="Times New Roman"/>
              </w:rPr>
              <w:t xml:space="preserve">vorminõuet ja seetõttu ei saa sellisel viisil tarbijakrediidilepinguid sõlmida. </w:t>
            </w:r>
            <w:r w:rsidR="65CAE2F6" w:rsidRPr="5EE03730">
              <w:rPr>
                <w:rFonts w:eastAsia="Times New Roman"/>
              </w:rPr>
              <w:t xml:space="preserve">See on nüüd VÕS § 410 kehtetuks tunnistamisel üheselt selge. Eelnõu koostamisel on peetud seda ka tarbija kaitsmiseks </w:t>
            </w:r>
            <w:r w:rsidR="13AA2785" w:rsidRPr="5EE03730">
              <w:rPr>
                <w:rFonts w:eastAsia="Times New Roman"/>
              </w:rPr>
              <w:t>vajalikuks muudatuseks</w:t>
            </w:r>
            <w:r w:rsidR="64679556" w:rsidRPr="5EE03730">
              <w:rPr>
                <w:rFonts w:eastAsia="Times New Roman"/>
              </w:rPr>
              <w:t>.</w:t>
            </w:r>
          </w:p>
          <w:p w14:paraId="718BA925" w14:textId="0E5B461E" w:rsidR="00D05EBA" w:rsidRPr="00C7376A" w:rsidRDefault="00D05EBA" w:rsidP="5EE03730">
            <w:pPr>
              <w:rPr>
                <w:rFonts w:eastAsia="Times New Roman"/>
              </w:rPr>
            </w:pPr>
          </w:p>
          <w:p w14:paraId="67158693" w14:textId="48C52E04" w:rsidR="00D05EBA" w:rsidRPr="00C7376A" w:rsidRDefault="3A9A5AAB" w:rsidP="5EE03730">
            <w:pPr>
              <w:rPr>
                <w:rFonts w:eastAsia="Times New Roman"/>
              </w:rPr>
            </w:pPr>
            <w:r w:rsidRPr="5EE03730">
              <w:rPr>
                <w:rFonts w:eastAsia="Times New Roman"/>
              </w:rPr>
              <w:t>D</w:t>
            </w:r>
            <w:r w:rsidR="412222DC" w:rsidRPr="5EE03730">
              <w:rPr>
                <w:rFonts w:eastAsia="Times New Roman"/>
              </w:rPr>
              <w:t xml:space="preserve">irektiivi artikkel 20 räägib lepingu </w:t>
            </w:r>
            <w:r w:rsidR="5F689105" w:rsidRPr="5EE03730">
              <w:rPr>
                <w:rFonts w:eastAsia="Times New Roman"/>
              </w:rPr>
              <w:t xml:space="preserve">sõlmimise vormist ning VÕS § 404 tarbija tahteavaldusest. Õige on ka tähelepanek, et see on n-ö pärand varasemast ajast, sellist õiguslikku konstruktsiooni kasutab VÕS § 404 alates </w:t>
            </w:r>
            <w:proofErr w:type="spellStart"/>
            <w:r w:rsidR="5F689105" w:rsidRPr="5EE03730">
              <w:rPr>
                <w:rFonts w:eastAsia="Times New Roman"/>
              </w:rPr>
              <w:t>VÕS-i</w:t>
            </w:r>
            <w:proofErr w:type="spellEnd"/>
            <w:r w:rsidR="5F689105" w:rsidRPr="5EE03730">
              <w:rPr>
                <w:rFonts w:eastAsia="Times New Roman"/>
              </w:rPr>
              <w:t xml:space="preserve"> </w:t>
            </w:r>
            <w:r w:rsidR="64BA9B9E" w:rsidRPr="5EE03730">
              <w:rPr>
                <w:rFonts w:eastAsia="Times New Roman"/>
              </w:rPr>
              <w:t>jõustu</w:t>
            </w:r>
            <w:r w:rsidR="5F689105" w:rsidRPr="5EE03730">
              <w:rPr>
                <w:rFonts w:eastAsia="Times New Roman"/>
              </w:rPr>
              <w:t>misest aastal 2</w:t>
            </w:r>
            <w:r w:rsidR="6EE899BE" w:rsidRPr="5EE03730">
              <w:rPr>
                <w:rFonts w:eastAsia="Times New Roman"/>
              </w:rPr>
              <w:t>002.</w:t>
            </w:r>
            <w:r w:rsidR="7632C114" w:rsidRPr="5EE03730">
              <w:rPr>
                <w:rFonts w:eastAsia="Times New Roman"/>
              </w:rPr>
              <w:t xml:space="preserve">  Samas rääkis ka kehtiva tarbijakrediidi direktiivi 2008/48/EÜ artikkel 10 lepinguvormist</w:t>
            </w:r>
            <w:r w:rsidR="6F5DD88A" w:rsidRPr="5EE03730">
              <w:rPr>
                <w:rFonts w:eastAsia="Times New Roman"/>
              </w:rPr>
              <w:t xml:space="preserve"> ning ka sisuline vorminõue on </w:t>
            </w:r>
            <w:r w:rsidR="1428BF41" w:rsidRPr="5EE03730">
              <w:rPr>
                <w:rFonts w:eastAsia="Times New Roman"/>
              </w:rPr>
              <w:t xml:space="preserve">seal </w:t>
            </w:r>
            <w:r w:rsidR="6F5DD88A" w:rsidRPr="5EE03730">
              <w:rPr>
                <w:rFonts w:eastAsia="Times New Roman"/>
              </w:rPr>
              <w:t>sama</w:t>
            </w:r>
            <w:r w:rsidR="4229BCEB" w:rsidRPr="5EE03730">
              <w:rPr>
                <w:rFonts w:eastAsia="Times New Roman"/>
              </w:rPr>
              <w:t xml:space="preserve">, nagu </w:t>
            </w:r>
            <w:r w:rsidR="6B97A867" w:rsidRPr="5EE03730">
              <w:rPr>
                <w:rFonts w:eastAsia="Times New Roman"/>
              </w:rPr>
              <w:t>uue direktiivi artiklis 20</w:t>
            </w:r>
            <w:r w:rsidR="6F5DD88A" w:rsidRPr="5EE03730">
              <w:rPr>
                <w:rFonts w:eastAsia="Times New Roman"/>
              </w:rPr>
              <w:t xml:space="preserve"> – Eesti õiguse tähenduses on selleks kirjalikku taasesitamist võimaldav vorm</w:t>
            </w:r>
            <w:r w:rsidR="7632C114" w:rsidRPr="5EE03730">
              <w:rPr>
                <w:rFonts w:eastAsia="Times New Roman"/>
              </w:rPr>
              <w:t xml:space="preserve">. </w:t>
            </w:r>
            <w:r w:rsidR="3BB0C33E" w:rsidRPr="5EE03730">
              <w:rPr>
                <w:rFonts w:eastAsia="Times New Roman"/>
              </w:rPr>
              <w:t xml:space="preserve">Seega </w:t>
            </w:r>
            <w:r w:rsidR="2C17EF33" w:rsidRPr="5EE03730">
              <w:rPr>
                <w:rFonts w:eastAsia="Times New Roman"/>
              </w:rPr>
              <w:t xml:space="preserve">ei too uue direktiivi ülevõtmine kaasa sisulist </w:t>
            </w:r>
            <w:r w:rsidR="6AE5362E" w:rsidRPr="5EE03730">
              <w:rPr>
                <w:rFonts w:eastAsia="Times New Roman"/>
              </w:rPr>
              <w:t xml:space="preserve">muudatust. </w:t>
            </w:r>
            <w:r w:rsidR="22C8C582" w:rsidRPr="5EE03730">
              <w:rPr>
                <w:rFonts w:eastAsia="Times New Roman"/>
              </w:rPr>
              <w:t>Justiits- ja Digiministeeriumini ei ole jõudnud infot selle kohta, et VÕS §-st 404 rakendamise ja sellest sisuliselt arusaamisega</w:t>
            </w:r>
            <w:r w:rsidR="4885276A" w:rsidRPr="5EE03730">
              <w:rPr>
                <w:rFonts w:eastAsia="Times New Roman"/>
              </w:rPr>
              <w:t xml:space="preserve"> oleks praktikas olnud raskusi. Kuna uus direktiiv ei too siin kaasa sisulist muudatust, siis </w:t>
            </w:r>
            <w:r w:rsidR="1DF1E511" w:rsidRPr="5EE03730">
              <w:rPr>
                <w:rFonts w:eastAsia="Times New Roman"/>
              </w:rPr>
              <w:t xml:space="preserve">võib seaduse muutmine pigem praktikas küsimusi tekitada. </w:t>
            </w:r>
            <w:r w:rsidR="0AF4C619" w:rsidRPr="5EE03730">
              <w:rPr>
                <w:rFonts w:eastAsia="Times New Roman"/>
              </w:rPr>
              <w:t>Seetõttu on eelnõus otsustatud jääda VÕS §-s 404 senise sõnastuse juurde.</w:t>
            </w:r>
          </w:p>
        </w:tc>
      </w:tr>
      <w:tr w:rsidR="00D22FD2" w14:paraId="3EAA0459" w14:textId="77777777" w:rsidTr="00617FBE">
        <w:tc>
          <w:tcPr>
            <w:tcW w:w="576" w:type="dxa"/>
          </w:tcPr>
          <w:p w14:paraId="6258ECB4" w14:textId="293932B2" w:rsidR="00C971AA" w:rsidRPr="00C7376A" w:rsidRDefault="000A6B58" w:rsidP="000179B5">
            <w:pPr>
              <w:jc w:val="center"/>
            </w:pPr>
            <w:r>
              <w:lastRenderedPageBreak/>
              <w:t>9</w:t>
            </w:r>
          </w:p>
        </w:tc>
        <w:tc>
          <w:tcPr>
            <w:tcW w:w="5040" w:type="dxa"/>
          </w:tcPr>
          <w:p w14:paraId="087D9EE5" w14:textId="689BCEDF" w:rsidR="00C971AA" w:rsidRPr="00C971AA" w:rsidRDefault="00C971AA" w:rsidP="00C971AA">
            <w:pPr>
              <w:pStyle w:val="Default"/>
              <w:jc w:val="both"/>
              <w:rPr>
                <w:rFonts w:ascii="Times New Roman" w:hAnsi="Times New Roman" w:cs="Times New Roman"/>
                <w:color w:val="auto"/>
                <w:vertAlign w:val="superscript"/>
              </w:rPr>
            </w:pPr>
            <w:r w:rsidRPr="00C971AA">
              <w:rPr>
                <w:rFonts w:ascii="Times New Roman" w:hAnsi="Times New Roman" w:cs="Times New Roman"/>
                <w:color w:val="auto"/>
              </w:rPr>
              <w:t>Finantsinspektsioon juhib tähelepanu, et eelnõu</w:t>
            </w:r>
            <w:r>
              <w:rPr>
                <w:rFonts w:ascii="Times New Roman" w:hAnsi="Times New Roman" w:cs="Times New Roman"/>
                <w:color w:val="auto"/>
              </w:rPr>
              <w:t xml:space="preserve"> </w:t>
            </w:r>
            <w:r w:rsidRPr="00C971AA">
              <w:rPr>
                <w:rFonts w:ascii="Times New Roman" w:hAnsi="Times New Roman" w:cs="Times New Roman"/>
                <w:color w:val="auto"/>
              </w:rPr>
              <w:t>seletuskirjas on toodud selgitus VÕS § 419</w:t>
            </w:r>
            <w:r>
              <w:rPr>
                <w:rFonts w:ascii="Times New Roman" w:hAnsi="Times New Roman" w:cs="Times New Roman"/>
                <w:color w:val="auto"/>
                <w:vertAlign w:val="superscript"/>
              </w:rPr>
              <w:t xml:space="preserve">3 </w:t>
            </w:r>
            <w:r w:rsidRPr="00C971AA">
              <w:rPr>
                <w:rFonts w:ascii="Times New Roman" w:hAnsi="Times New Roman" w:cs="Times New Roman"/>
                <w:color w:val="auto"/>
              </w:rPr>
              <w:t>lõike 5 muutmise kohta, kuid muudatust ennast eelnõust ei nähtu.</w:t>
            </w:r>
          </w:p>
        </w:tc>
        <w:tc>
          <w:tcPr>
            <w:tcW w:w="5016" w:type="dxa"/>
          </w:tcPr>
          <w:p w14:paraId="6FBE4F69" w14:textId="5C3AD199" w:rsidR="00C971AA" w:rsidRPr="00200F85" w:rsidRDefault="00200F85" w:rsidP="000179B5">
            <w:pPr>
              <w:rPr>
                <w:b/>
                <w:bCs/>
              </w:rPr>
            </w:pPr>
            <w:r w:rsidRPr="00200F85">
              <w:rPr>
                <w:b/>
                <w:bCs/>
              </w:rPr>
              <w:t>Selgitatud.</w:t>
            </w:r>
          </w:p>
          <w:p w14:paraId="56456113" w14:textId="65AA959F" w:rsidR="00C971AA" w:rsidRPr="00C7376A" w:rsidRDefault="00200F85" w:rsidP="000179B5">
            <w:r w:rsidRPr="00C971AA">
              <w:t>VÕS § 419</w:t>
            </w:r>
            <w:r>
              <w:rPr>
                <w:vertAlign w:val="superscript"/>
              </w:rPr>
              <w:t xml:space="preserve">3 </w:t>
            </w:r>
            <w:r w:rsidRPr="00C971AA">
              <w:t>lõike 5 muutmi</w:t>
            </w:r>
            <w:r>
              <w:t>n</w:t>
            </w:r>
            <w:r w:rsidRPr="00C971AA">
              <w:t>e</w:t>
            </w:r>
            <w:r>
              <w:t xml:space="preserve"> on eelnõu § 1 punktis 96. </w:t>
            </w:r>
          </w:p>
        </w:tc>
      </w:tr>
      <w:tr w:rsidR="00D22FD2" w14:paraId="58D747A1" w14:textId="77777777" w:rsidTr="00617FBE">
        <w:tc>
          <w:tcPr>
            <w:tcW w:w="576" w:type="dxa"/>
          </w:tcPr>
          <w:p w14:paraId="0FA32F88" w14:textId="36E83373" w:rsidR="00F5685D" w:rsidRPr="00C7376A" w:rsidRDefault="000A6B58" w:rsidP="000179B5">
            <w:pPr>
              <w:jc w:val="center"/>
            </w:pPr>
            <w:r>
              <w:t>10</w:t>
            </w:r>
          </w:p>
        </w:tc>
        <w:tc>
          <w:tcPr>
            <w:tcW w:w="5040" w:type="dxa"/>
          </w:tcPr>
          <w:p w14:paraId="02632231" w14:textId="31CB1A55" w:rsidR="00F5685D" w:rsidRPr="00C971AA" w:rsidRDefault="00F5685D" w:rsidP="00F5685D">
            <w:pPr>
              <w:pStyle w:val="Default"/>
              <w:jc w:val="both"/>
              <w:rPr>
                <w:rFonts w:ascii="Times New Roman" w:hAnsi="Times New Roman" w:cs="Times New Roman"/>
                <w:color w:val="auto"/>
              </w:rPr>
            </w:pPr>
            <w:r w:rsidRPr="00F5685D">
              <w:rPr>
                <w:rFonts w:ascii="Times New Roman" w:hAnsi="Times New Roman" w:cs="Times New Roman"/>
                <w:color w:val="auto"/>
              </w:rPr>
              <w:t>Finantsinspektsioon palub eelnõus üle vaadata kasutatav terminoloogia, kuivõrd käesoleval hetkel tekitab see mitmes kohas segadust. Eriti arvestades, et</w:t>
            </w:r>
            <w:r>
              <w:rPr>
                <w:rFonts w:ascii="Times New Roman" w:hAnsi="Times New Roman" w:cs="Times New Roman"/>
                <w:color w:val="auto"/>
              </w:rPr>
              <w:t xml:space="preserve"> </w:t>
            </w:r>
            <w:r w:rsidRPr="00F5685D">
              <w:rPr>
                <w:rFonts w:ascii="Times New Roman" w:hAnsi="Times New Roman" w:cs="Times New Roman"/>
                <w:color w:val="auto"/>
              </w:rPr>
              <w:t>tarbijakrediidileping ei ole eelnõu kohaselt enam alati krediidileping, vaid võib olla ka rahasumma üleandmisele suunatud laenuleping.</w:t>
            </w:r>
          </w:p>
        </w:tc>
        <w:tc>
          <w:tcPr>
            <w:tcW w:w="5016" w:type="dxa"/>
          </w:tcPr>
          <w:p w14:paraId="0C1B4ED3" w14:textId="38D2BD79" w:rsidR="00F5685D" w:rsidRPr="00C7376A" w:rsidRDefault="37812BDD" w:rsidP="178B8483">
            <w:pPr>
              <w:rPr>
                <w:b/>
                <w:bCs/>
              </w:rPr>
            </w:pPr>
            <w:r w:rsidRPr="178B8483">
              <w:rPr>
                <w:b/>
                <w:bCs/>
              </w:rPr>
              <w:t>Arvestatud</w:t>
            </w:r>
          </w:p>
          <w:p w14:paraId="3023649A" w14:textId="7971BE1F" w:rsidR="00F5685D" w:rsidRPr="00C7376A" w:rsidRDefault="498FD9BF" w:rsidP="000179B5">
            <w:r>
              <w:t xml:space="preserve">Eelnõu on täiendavalt üle kontrollitud. </w:t>
            </w:r>
            <w:r w:rsidR="1594539B">
              <w:t xml:space="preserve">Lisaks varem kavandatule on lisatud krediidivahenduslepingu mõiste muudatus. </w:t>
            </w:r>
          </w:p>
        </w:tc>
      </w:tr>
      <w:tr w:rsidR="002A6C9D" w14:paraId="7C93623E" w14:textId="77777777" w:rsidTr="00617FBE">
        <w:tc>
          <w:tcPr>
            <w:tcW w:w="10632" w:type="dxa"/>
            <w:gridSpan w:val="3"/>
          </w:tcPr>
          <w:p w14:paraId="55A380DC" w14:textId="2223B898" w:rsidR="00CF281B" w:rsidRPr="00C7376A" w:rsidRDefault="00CF281B" w:rsidP="000179B5">
            <w:r>
              <w:t>K</w:t>
            </w:r>
            <w:r w:rsidR="00056A10">
              <w:t>rediidiandjate ja -vahendajate seadus</w:t>
            </w:r>
          </w:p>
        </w:tc>
      </w:tr>
      <w:tr w:rsidR="00D22FD2" w14:paraId="56225FAC" w14:textId="77777777" w:rsidTr="00617FBE">
        <w:tc>
          <w:tcPr>
            <w:tcW w:w="576" w:type="dxa"/>
          </w:tcPr>
          <w:p w14:paraId="2CAEFE04" w14:textId="7D73FA0C" w:rsidR="000179B5" w:rsidRDefault="000179B5" w:rsidP="000179B5">
            <w:pPr>
              <w:jc w:val="center"/>
            </w:pPr>
            <w:r w:rsidRPr="00C7376A">
              <w:t>1</w:t>
            </w:r>
            <w:r w:rsidR="00056A10">
              <w:t>1</w:t>
            </w:r>
          </w:p>
        </w:tc>
        <w:tc>
          <w:tcPr>
            <w:tcW w:w="5040" w:type="dxa"/>
          </w:tcPr>
          <w:p w14:paraId="588569FE" w14:textId="77777777" w:rsidR="000179B5" w:rsidRPr="00C7376A" w:rsidRDefault="40BE7DEB" w:rsidP="000179B5">
            <w:pPr>
              <w:pStyle w:val="Default"/>
              <w:jc w:val="both"/>
              <w:rPr>
                <w:rFonts w:ascii="Times New Roman" w:hAnsi="Times New Roman" w:cs="Times New Roman"/>
                <w:color w:val="auto"/>
              </w:rPr>
            </w:pPr>
            <w:r w:rsidRPr="3EE41C98">
              <w:rPr>
                <w:rFonts w:ascii="Times New Roman" w:hAnsi="Times New Roman" w:cs="Times New Roman"/>
                <w:color w:val="auto"/>
              </w:rPr>
              <w:t xml:space="preserve">Seoses krediidiandjate ja -vahendajate seaduse (edaspidi KAVS) muutmise vajadusega märgib Finantsinspektsioon alljärgnevat. KAVS § 10 lõike 1 ja 2 alusel peab krediidiandjana ja krediidivahendajana tegutsemiseks olema tegevusluba. KAVS § 3 kohaselt on krediidi andmine KAVS tähenduses VÕS § 401 lõigetes 1 ja 2 nimetatud krediidi andmine, tasuline maksetähtpäeva edasilükkamine, liising või muu abi finantseerimisel, sealhulgas krediidilepingute sõlmimine ja selleks vajalike toimingute tegemine </w:t>
            </w:r>
            <w:r w:rsidRPr="3EE41C98">
              <w:rPr>
                <w:rFonts w:ascii="Times New Roman" w:hAnsi="Times New Roman" w:cs="Times New Roman"/>
                <w:color w:val="auto"/>
              </w:rPr>
              <w:lastRenderedPageBreak/>
              <w:t>oma nimel ja arvel. KAVS § 4 alusel on krediidi vahendamine KAVS tähenduses:</w:t>
            </w:r>
          </w:p>
          <w:p w14:paraId="11400E37" w14:textId="77777777" w:rsidR="000179B5" w:rsidRPr="00C7376A" w:rsidRDefault="40BE7DEB" w:rsidP="000179B5">
            <w:pPr>
              <w:pStyle w:val="Default"/>
              <w:jc w:val="both"/>
              <w:rPr>
                <w:rFonts w:ascii="Times New Roman" w:hAnsi="Times New Roman" w:cs="Times New Roman"/>
                <w:color w:val="auto"/>
              </w:rPr>
            </w:pPr>
            <w:r w:rsidRPr="3EE41C98">
              <w:rPr>
                <w:rFonts w:ascii="Times New Roman" w:hAnsi="Times New Roman" w:cs="Times New Roman"/>
                <w:color w:val="auto"/>
              </w:rPr>
              <w:t>1) tarbijale tasu eest krediidi andmise vahendamine või krediidilepingu sõlmimise võimalusele osutamine;</w:t>
            </w:r>
          </w:p>
          <w:p w14:paraId="616E1EC2" w14:textId="77777777" w:rsidR="000179B5" w:rsidRPr="00C7376A" w:rsidRDefault="40BE7DEB" w:rsidP="000179B5">
            <w:pPr>
              <w:pStyle w:val="Default"/>
              <w:jc w:val="both"/>
              <w:rPr>
                <w:rFonts w:ascii="Times New Roman" w:hAnsi="Times New Roman" w:cs="Times New Roman"/>
              </w:rPr>
            </w:pPr>
            <w:r w:rsidRPr="3EE41C98">
              <w:rPr>
                <w:rFonts w:ascii="Times New Roman" w:hAnsi="Times New Roman" w:cs="Times New Roman"/>
                <w:color w:val="auto"/>
              </w:rPr>
              <w:t>2) tarbija abistamine krediidilepingu sõlmimise eelsetes toimingutes või lepingu sõlmimisel ja muud sellega seotud tegevused, mida ei ole nimetatud käesoleva paragrahvi punktis 1;</w:t>
            </w:r>
          </w:p>
          <w:p w14:paraId="589EDCF4" w14:textId="77777777" w:rsidR="000179B5" w:rsidRPr="00C7376A" w:rsidRDefault="40BE7DEB" w:rsidP="000179B5">
            <w:pPr>
              <w:pStyle w:val="Default"/>
              <w:jc w:val="both"/>
              <w:rPr>
                <w:rFonts w:ascii="Times New Roman" w:hAnsi="Times New Roman" w:cs="Times New Roman"/>
              </w:rPr>
            </w:pPr>
            <w:r w:rsidRPr="3EE41C98">
              <w:rPr>
                <w:rFonts w:ascii="Times New Roman" w:hAnsi="Times New Roman" w:cs="Times New Roman"/>
                <w:color w:val="auto"/>
              </w:rPr>
              <w:t xml:space="preserve">3) krediidiandja jaoks ja tema huvides iseseisvalt ja püsivalt lepingute vahendamine või nende sõlmimine krediidiandja nimel ja arvel. </w:t>
            </w:r>
          </w:p>
          <w:p w14:paraId="618F6CBB" w14:textId="77777777" w:rsidR="000179B5" w:rsidRPr="00C7376A" w:rsidRDefault="000179B5" w:rsidP="000179B5">
            <w:pPr>
              <w:pStyle w:val="Default"/>
              <w:jc w:val="both"/>
              <w:rPr>
                <w:rFonts w:ascii="Times New Roman" w:hAnsi="Times New Roman" w:cs="Times New Roman"/>
                <w:color w:val="auto"/>
              </w:rPr>
            </w:pPr>
          </w:p>
          <w:p w14:paraId="5053A789" w14:textId="564B37F2" w:rsidR="000179B5" w:rsidRDefault="40BE7DEB" w:rsidP="000179B5">
            <w:r>
              <w:t xml:space="preserve">Praegu tugineb KAVS tegevusloa nõue VÕS § 401 lõigetele 1 ja 2, mis käsitlevad tasulisi krediidilepinguid, st ainult tasuline krediit kvalifitseerub krediidilepingu esemeks. Eelnõus toodud VÕS § 402 muudatuste kohaselt võib tarbijakrediidilepinguid sõlmida ka tasuta krediidi vormis (näiteks maksetähtpäeva edasilükkamine ilma intressi või muude tasudeta, eeldusel et erandid ei kohaldu). Sellised lepingud ei kvalifitseeru aga VÕS § 401 mõistes krediidilepinguteks, mistõttu isikud, kes pakuvad tasuta krediiti, ei ole KAVS mõistes krediidiandjad ning isikud, kes vahendavad tasuta krediiti, ei ole KAVS mõistes krediidivahendajad ja seega ei nõuta tegevusluba, kuigi nende tegevus kuulub sisuliselt tarbijakrediidi regulatsiooni alla. Finantsinspektsioon palub eeltoodu valguses nii eelnõu kui ka vajadus </w:t>
            </w:r>
            <w:proofErr w:type="spellStart"/>
            <w:r>
              <w:t>KAVS-i</w:t>
            </w:r>
            <w:proofErr w:type="spellEnd"/>
            <w:r>
              <w:t xml:space="preserve"> muutmiseks üle vaadata. Eeskätt asjaolu, et </w:t>
            </w:r>
            <w:proofErr w:type="spellStart"/>
            <w:r>
              <w:t>KAVS-is</w:t>
            </w:r>
            <w:proofErr w:type="spellEnd"/>
            <w:r>
              <w:t xml:space="preserve"> on krediidi andmine defineeritud läbi VÕS § 401.</w:t>
            </w:r>
          </w:p>
        </w:tc>
        <w:tc>
          <w:tcPr>
            <w:tcW w:w="5016" w:type="dxa"/>
          </w:tcPr>
          <w:p w14:paraId="25C44941" w14:textId="34986372" w:rsidR="000179B5" w:rsidRDefault="4F41CB3D" w:rsidP="000179B5">
            <w:r w:rsidRPr="3EE41C98">
              <w:rPr>
                <w:b/>
                <w:bCs/>
              </w:rPr>
              <w:lastRenderedPageBreak/>
              <w:t>Arvestatud</w:t>
            </w:r>
            <w:r>
              <w:t>.</w:t>
            </w:r>
          </w:p>
          <w:p w14:paraId="1EAE1BFA" w14:textId="57F122B6" w:rsidR="000179B5" w:rsidRDefault="4F41CB3D" w:rsidP="3EE41C98">
            <w:r>
              <w:t>M</w:t>
            </w:r>
            <w:r w:rsidR="4274D25A">
              <w:t>uud</w:t>
            </w:r>
            <w:r w:rsidR="24BC0367">
              <w:t>atus lisatud</w:t>
            </w:r>
            <w:r w:rsidR="4274D25A">
              <w:t xml:space="preserve"> eelnõus</w:t>
            </w:r>
            <w:r w:rsidR="24BC0367">
              <w:t>se</w:t>
            </w:r>
            <w:r w:rsidR="4F142383">
              <w:t xml:space="preserve">, selle kohaselt </w:t>
            </w:r>
            <w:r w:rsidR="10AEFF4A">
              <w:t xml:space="preserve">viidatakse </w:t>
            </w:r>
            <w:r w:rsidR="4F142383">
              <w:t xml:space="preserve">KAVS §-s 3 </w:t>
            </w:r>
            <w:r w:rsidR="365A7EF4">
              <w:t xml:space="preserve">nüüd </w:t>
            </w:r>
            <w:r w:rsidR="4F142383">
              <w:t>VÕS §</w:t>
            </w:r>
            <w:r w:rsidR="4CF5366A">
              <w:t xml:space="preserve"> </w:t>
            </w:r>
            <w:r w:rsidR="4F142383">
              <w:t>40</w:t>
            </w:r>
            <w:r w:rsidR="365A7EF4">
              <w:t>2</w:t>
            </w:r>
            <w:r w:rsidR="4F142383">
              <w:t xml:space="preserve"> lõikele 1.</w:t>
            </w:r>
          </w:p>
          <w:p w14:paraId="7B0AD861" w14:textId="77777777" w:rsidR="00DB796E" w:rsidRDefault="00DB796E" w:rsidP="000179B5"/>
          <w:p w14:paraId="1CB7C409" w14:textId="17930EC4" w:rsidR="001B4CBD" w:rsidRDefault="001B4CBD" w:rsidP="000179B5"/>
          <w:p w14:paraId="1FCB4FAC" w14:textId="77777777" w:rsidR="00965C87" w:rsidRDefault="00965C87" w:rsidP="000179B5"/>
          <w:p w14:paraId="774D7B1F" w14:textId="77777777" w:rsidR="0075577F" w:rsidRPr="00C7376A" w:rsidRDefault="0075577F" w:rsidP="000179B5"/>
          <w:p w14:paraId="344F0292" w14:textId="77777777" w:rsidR="000179B5" w:rsidRDefault="000179B5" w:rsidP="000179B5">
            <w:pPr>
              <w:jc w:val="center"/>
            </w:pPr>
          </w:p>
        </w:tc>
      </w:tr>
      <w:tr w:rsidR="00D22FD2" w14:paraId="2053EBB5" w14:textId="77777777" w:rsidTr="00617FBE">
        <w:tc>
          <w:tcPr>
            <w:tcW w:w="576" w:type="dxa"/>
          </w:tcPr>
          <w:p w14:paraId="7FBD3201" w14:textId="46FE90F9" w:rsidR="000179B5" w:rsidRDefault="000179B5" w:rsidP="000179B5">
            <w:pPr>
              <w:jc w:val="center"/>
            </w:pPr>
            <w:r w:rsidRPr="00C7376A">
              <w:lastRenderedPageBreak/>
              <w:t>1</w:t>
            </w:r>
            <w:r w:rsidR="00056A10">
              <w:t>2</w:t>
            </w:r>
          </w:p>
        </w:tc>
        <w:tc>
          <w:tcPr>
            <w:tcW w:w="5040" w:type="dxa"/>
          </w:tcPr>
          <w:p w14:paraId="379F42B5" w14:textId="77777777" w:rsidR="000179B5" w:rsidRPr="00C7376A" w:rsidRDefault="000179B5" w:rsidP="000179B5">
            <w:pPr>
              <w:pStyle w:val="Default"/>
              <w:jc w:val="both"/>
              <w:rPr>
                <w:rFonts w:ascii="Times New Roman" w:hAnsi="Times New Roman" w:cs="Times New Roman"/>
                <w:color w:val="auto"/>
              </w:rPr>
            </w:pPr>
            <w:r w:rsidRPr="00C7376A">
              <w:rPr>
                <w:rFonts w:ascii="Times New Roman" w:hAnsi="Times New Roman" w:cs="Times New Roman"/>
                <w:color w:val="auto"/>
              </w:rPr>
              <w:t>Eelnõu kohaselt täiendatakse KAVS §-i 2 lõikega 9</w:t>
            </w:r>
            <w:r w:rsidRPr="00C7376A">
              <w:rPr>
                <w:rFonts w:ascii="Times New Roman" w:hAnsi="Times New Roman" w:cs="Times New Roman"/>
                <w:color w:val="auto"/>
                <w:vertAlign w:val="superscript"/>
              </w:rPr>
              <w:t xml:space="preserve">1 </w:t>
            </w:r>
            <w:r w:rsidRPr="00C7376A">
              <w:rPr>
                <w:rFonts w:ascii="Times New Roman" w:hAnsi="Times New Roman" w:cs="Times New Roman"/>
                <w:color w:val="auto"/>
              </w:rPr>
              <w:t xml:space="preserve">järgmises sõnastuses: „Käesolevat  seadust ei kohaldata ettevõtjale, kes oma majandus- või kutsetegevuses müüb tarbijale eseme või  osutab teenust ja </w:t>
            </w:r>
            <w:proofErr w:type="spellStart"/>
            <w:r w:rsidRPr="00C7376A">
              <w:rPr>
                <w:rFonts w:ascii="Times New Roman" w:hAnsi="Times New Roman" w:cs="Times New Roman"/>
                <w:color w:val="auto"/>
              </w:rPr>
              <w:t>kõrvaltegevusena</w:t>
            </w:r>
            <w:proofErr w:type="spellEnd"/>
            <w:r w:rsidRPr="00C7376A">
              <w:rPr>
                <w:rFonts w:ascii="Times New Roman" w:hAnsi="Times New Roman" w:cs="Times New Roman"/>
                <w:color w:val="auto"/>
              </w:rPr>
              <w:t xml:space="preserve"> pakub tarbijale maksetähtpäeva edasilükkamise kujul  intressivaba krediiti, millega kaasnevad üksnes vähesed tasud maksetega hilinemise korral, või kes  vahendab </w:t>
            </w:r>
            <w:proofErr w:type="spellStart"/>
            <w:r w:rsidRPr="00C7376A">
              <w:rPr>
                <w:rFonts w:ascii="Times New Roman" w:hAnsi="Times New Roman" w:cs="Times New Roman"/>
                <w:color w:val="auto"/>
              </w:rPr>
              <w:t>kõrvaltegevusena</w:t>
            </w:r>
            <w:proofErr w:type="spellEnd"/>
            <w:r w:rsidRPr="00C7376A">
              <w:rPr>
                <w:rFonts w:ascii="Times New Roman" w:hAnsi="Times New Roman" w:cs="Times New Roman"/>
                <w:color w:val="auto"/>
              </w:rPr>
              <w:t xml:space="preserve"> tarbijale krediiti, kui ettevõtja on käsitatav mikro-, väike- või keskmise suurusega ettevõtjana vastavalt komisjoni soovitusele 2003/361/EÜ mikro-, väikeste ja keskmise  suurusega ettevõtjate määratlemise kohta (ELT L 124, 20.05.2003, lk 36–41).“</w:t>
            </w:r>
          </w:p>
          <w:p w14:paraId="73CEF816" w14:textId="77777777" w:rsidR="000179B5" w:rsidRPr="00C7376A" w:rsidRDefault="000179B5" w:rsidP="000179B5">
            <w:pPr>
              <w:pStyle w:val="Default"/>
              <w:jc w:val="both"/>
              <w:rPr>
                <w:rFonts w:ascii="Times New Roman" w:hAnsi="Times New Roman" w:cs="Times New Roman"/>
                <w:color w:val="auto"/>
              </w:rPr>
            </w:pPr>
          </w:p>
          <w:p w14:paraId="66105821" w14:textId="77777777" w:rsidR="000179B5" w:rsidRPr="00C7376A" w:rsidRDefault="40BE7DEB" w:rsidP="000179B5">
            <w:pPr>
              <w:pStyle w:val="Default"/>
              <w:jc w:val="both"/>
              <w:rPr>
                <w:rFonts w:ascii="Times New Roman" w:hAnsi="Times New Roman" w:cs="Times New Roman"/>
              </w:rPr>
            </w:pPr>
            <w:r w:rsidRPr="3EE41C98">
              <w:rPr>
                <w:rFonts w:ascii="Times New Roman" w:hAnsi="Times New Roman" w:cs="Times New Roman"/>
                <w:color w:val="auto"/>
              </w:rPr>
              <w:t>Finantsinspektsioon märgib, et kavandatava KAVS § 2 lõike 9</w:t>
            </w:r>
            <w:r w:rsidRPr="3EE41C98">
              <w:rPr>
                <w:rFonts w:ascii="Times New Roman" w:hAnsi="Times New Roman" w:cs="Times New Roman"/>
                <w:color w:val="auto"/>
                <w:vertAlign w:val="superscript"/>
              </w:rPr>
              <w:t xml:space="preserve">1 </w:t>
            </w:r>
            <w:r w:rsidRPr="3EE41C98">
              <w:rPr>
                <w:rFonts w:ascii="Times New Roman" w:hAnsi="Times New Roman" w:cs="Times New Roman"/>
                <w:color w:val="auto"/>
              </w:rPr>
              <w:t xml:space="preserve">sõnastus jätab ebamääraseks, </w:t>
            </w:r>
            <w:r w:rsidRPr="3EE41C98">
              <w:rPr>
                <w:rFonts w:ascii="Times New Roman" w:hAnsi="Times New Roman" w:cs="Times New Roman"/>
                <w:color w:val="auto"/>
              </w:rPr>
              <w:lastRenderedPageBreak/>
              <w:t>millised  isikud on välistatud kohaldamisalast. Lõikes on mainitud vaid, et krediit peab olema intressivaba ja  kaasnema väheste tasudega maksete hilinemise korral, kuid puudub täpne viide, et krediiti võib anda  ainult kauba või teenuse tarnija ise (ilma kolmanda isikuta) ja et tasuda tuleb täies ulatuses 50 päeva  jooksul ning et muud tasud on piiratud. Lisaks ei saa lõikes 9</w:t>
            </w:r>
            <w:r w:rsidRPr="3EE41C98">
              <w:rPr>
                <w:rFonts w:ascii="Times New Roman" w:hAnsi="Times New Roman" w:cs="Times New Roman"/>
                <w:color w:val="auto"/>
                <w:vertAlign w:val="superscript"/>
              </w:rPr>
              <w:t>1</w:t>
            </w:r>
            <w:r w:rsidRPr="3EE41C98">
              <w:rPr>
                <w:rFonts w:ascii="Times New Roman" w:hAnsi="Times New Roman" w:cs="Times New Roman"/>
                <w:color w:val="auto"/>
              </w:rPr>
              <w:t xml:space="preserve"> viidatud erand mikro-, väike- ja keskmise  suurusega ettevõtjatele olla universaalne olukorras, kus CCDII artikkel 2 lõike 2 punkt h järgi kehtib  see ainult infoühiskonna teenuste puhul. KAVS eelnõu sõnastus aga jätab mulje, et erand kehtib igasuguse </w:t>
            </w:r>
            <w:proofErr w:type="spellStart"/>
            <w:r w:rsidRPr="3EE41C98">
              <w:rPr>
                <w:rFonts w:ascii="Times New Roman" w:hAnsi="Times New Roman" w:cs="Times New Roman"/>
                <w:color w:val="auto"/>
              </w:rPr>
              <w:t>kõrvaltegevusena</w:t>
            </w:r>
            <w:proofErr w:type="spellEnd"/>
            <w:r w:rsidRPr="3EE41C98">
              <w:rPr>
                <w:rFonts w:ascii="Times New Roman" w:hAnsi="Times New Roman" w:cs="Times New Roman"/>
                <w:color w:val="auto"/>
              </w:rPr>
              <w:t xml:space="preserve"> antava krediidi kohta, peaasi, et oleks täidetud mikro-, väike- ja keskmise  suurusega ettevõtja tingimus. </w:t>
            </w:r>
          </w:p>
          <w:p w14:paraId="1C11D8CF" w14:textId="77777777" w:rsidR="000179B5" w:rsidRPr="00C7376A" w:rsidRDefault="000179B5" w:rsidP="000179B5">
            <w:pPr>
              <w:pStyle w:val="Default"/>
              <w:jc w:val="both"/>
              <w:rPr>
                <w:rFonts w:ascii="Times New Roman" w:hAnsi="Times New Roman" w:cs="Times New Roman"/>
                <w:color w:val="auto"/>
              </w:rPr>
            </w:pPr>
          </w:p>
          <w:p w14:paraId="18345F7B" w14:textId="73B74979" w:rsidR="000179B5" w:rsidRDefault="000179B5" w:rsidP="000179B5">
            <w:r w:rsidRPr="00C7376A">
              <w:t xml:space="preserve">Eelnõus toodud sõnastus on liiga üldine ega täpsusta CCDII artikkel 2 lõike 2 punkt h poolt sätestatud  kohustuslikke tingimusi eranditele. Finantsinspektsioon palub eelnõu sõnastus üle vaadata ning  kaaluda sõnastuse täpsustamist lähtuvalt vajadusest tagada kooskõla direktiiviga ning selgus, milline  tegevus kuulub KAVS alusel </w:t>
            </w:r>
            <w:proofErr w:type="spellStart"/>
            <w:r w:rsidRPr="00C7376A">
              <w:t>tegevusloastatud</w:t>
            </w:r>
            <w:proofErr w:type="spellEnd"/>
            <w:r w:rsidRPr="00C7376A">
              <w:t xml:space="preserve"> tegevuse hulka ja milline mitte. Teeme ettepaneku, et  KAVS § 2 lõige 9</w:t>
            </w:r>
            <w:r w:rsidRPr="00C7376A">
              <w:rPr>
                <w:vertAlign w:val="superscript"/>
              </w:rPr>
              <w:t xml:space="preserve">1 </w:t>
            </w:r>
            <w:r w:rsidRPr="00C7376A">
              <w:t>reguleeriks CCDII artikli 2 lõike 2 punkt h esimest poolt, tasumise edasilükkamine,  ning lisada KAVS § 2 lõige 9</w:t>
            </w:r>
            <w:r w:rsidRPr="00C7376A">
              <w:rPr>
                <w:vertAlign w:val="superscript"/>
              </w:rPr>
              <w:t>2</w:t>
            </w:r>
            <w:r w:rsidRPr="00C7376A">
              <w:t>, mis reguleeriks CCDII artikkel 2 lõike 2 punkt h teist poolt ehk erandit tasumise edasilükkamisele, mida pakuvad kaupade tarnijad või teenuste osutajad, kes ei ole  soovituses 2003/361/EÜ määratletud mikro-, väikesed või keskmise suurusega ettevõtjad.</w:t>
            </w:r>
          </w:p>
        </w:tc>
        <w:tc>
          <w:tcPr>
            <w:tcW w:w="5016" w:type="dxa"/>
          </w:tcPr>
          <w:p w14:paraId="756D3B0B" w14:textId="7CE8B44B" w:rsidR="000179B5" w:rsidRDefault="450F7C3A" w:rsidP="3EE41C98">
            <w:pPr>
              <w:rPr>
                <w:b/>
                <w:bCs/>
              </w:rPr>
            </w:pPr>
            <w:r w:rsidRPr="3EE41C98">
              <w:rPr>
                <w:b/>
                <w:bCs/>
              </w:rPr>
              <w:lastRenderedPageBreak/>
              <w:t>Selgitatud</w:t>
            </w:r>
            <w:r w:rsidR="00056A10">
              <w:rPr>
                <w:b/>
                <w:bCs/>
              </w:rPr>
              <w:t>.</w:t>
            </w:r>
          </w:p>
          <w:p w14:paraId="71FA723A" w14:textId="6F61D813" w:rsidR="000179B5" w:rsidRDefault="450F7C3A" w:rsidP="00D573A0">
            <w:r>
              <w:t>KAVS</w:t>
            </w:r>
            <w:r w:rsidR="365A7EF4">
              <w:t xml:space="preserve"> </w:t>
            </w:r>
            <w:r>
              <w:t xml:space="preserve">§ </w:t>
            </w:r>
            <w:r w:rsidR="2F0A6115">
              <w:t>2</w:t>
            </w:r>
            <w:r w:rsidR="5598E1F6">
              <w:t xml:space="preserve"> </w:t>
            </w:r>
            <w:r>
              <w:t xml:space="preserve">uus lg </w:t>
            </w:r>
            <w:r w:rsidR="6E1F7A30" w:rsidRPr="51842161">
              <w:t>9</w:t>
            </w:r>
            <w:r w:rsidR="6E1F7A30" w:rsidRPr="51842161">
              <w:rPr>
                <w:vertAlign w:val="superscript"/>
              </w:rPr>
              <w:t>1</w:t>
            </w:r>
            <w:r>
              <w:t xml:space="preserve"> põhineb </w:t>
            </w:r>
            <w:r w:rsidR="00A95FA0">
              <w:t>uue direktiivi</w:t>
            </w:r>
            <w:r>
              <w:t xml:space="preserve"> artiklil 37(3), mitte artiklil 2(2h). </w:t>
            </w:r>
            <w:r w:rsidR="75078E1C">
              <w:t>Uue direktiivi</w:t>
            </w:r>
            <w:r w:rsidR="365A7EF4">
              <w:t xml:space="preserve"> artikkel 2(2h)</w:t>
            </w:r>
            <w:r>
              <w:t xml:space="preserve"> võetakse üle </w:t>
            </w:r>
            <w:r w:rsidR="6B71D4FB">
              <w:t xml:space="preserve">eelnõu </w:t>
            </w:r>
            <w:r>
              <w:t xml:space="preserve">VÕS § </w:t>
            </w:r>
            <w:r w:rsidR="62831020">
              <w:t>403 lõigete 7–</w:t>
            </w:r>
            <w:r w:rsidR="5C4DCAF3">
              <w:t>8</w:t>
            </w:r>
            <w:r w:rsidR="6B71D4FB">
              <w:t xml:space="preserve"> kohaste muudatustega</w:t>
            </w:r>
            <w:r w:rsidR="62831020">
              <w:t>.</w:t>
            </w:r>
            <w:r w:rsidR="3D75C206">
              <w:t xml:space="preserve"> </w:t>
            </w:r>
          </w:p>
          <w:p w14:paraId="1B03AA14" w14:textId="77777777" w:rsidR="00AF6065" w:rsidRDefault="00AF6065" w:rsidP="00D573A0"/>
          <w:p w14:paraId="3CBBCE76" w14:textId="06472DBD" w:rsidR="000179B5" w:rsidRDefault="00AF6065" w:rsidP="00D573A0">
            <w:r>
              <w:t>KAVS § 2 lõike 9</w:t>
            </w:r>
            <w:r>
              <w:rPr>
                <w:vertAlign w:val="superscript"/>
              </w:rPr>
              <w:t>1</w:t>
            </w:r>
            <w:r>
              <w:t xml:space="preserve"> kohase erandi ettenägemine tähendab, et eelnimetatud isikud ei pea taotlema Finantsinspektsioonilt krediidiandja või krediidivahendaja tegevusluba ega pea täitma muidu </w:t>
            </w:r>
            <w:proofErr w:type="spellStart"/>
            <w:r>
              <w:t>KAVS-i</w:t>
            </w:r>
            <w:proofErr w:type="spellEnd"/>
            <w:r>
              <w:t xml:space="preserve"> nõudeid. Siiski kehtib nendele isikutele kohustus järgida </w:t>
            </w:r>
            <w:proofErr w:type="spellStart"/>
            <w:r>
              <w:t>VÕS-is</w:t>
            </w:r>
            <w:proofErr w:type="spellEnd"/>
            <w:r>
              <w:t xml:space="preserve"> tarbijakrediidi kohta sätestatut, eeldusel, et ei kohaldu mõni tarbijakrediidi jaoks ette nähtud välistus.</w:t>
            </w:r>
            <w:r w:rsidR="00D573A0">
              <w:t xml:space="preserve"> Eelnõus ega seletuskirjas tulenevalt eeltoodust muudatusi ei ole seega tehtud.</w:t>
            </w:r>
          </w:p>
          <w:p w14:paraId="0395D2FA" w14:textId="77777777" w:rsidR="00AD6E84" w:rsidRDefault="00AD6E84" w:rsidP="000179B5">
            <w:pPr>
              <w:jc w:val="center"/>
            </w:pPr>
          </w:p>
          <w:p w14:paraId="2C3FA2C3" w14:textId="08209554" w:rsidR="00AD6E84" w:rsidRDefault="00AD6E84" w:rsidP="000179B5">
            <w:pPr>
              <w:jc w:val="center"/>
            </w:pPr>
          </w:p>
        </w:tc>
      </w:tr>
      <w:tr w:rsidR="00D22FD2" w14:paraId="2FA79AF5" w14:textId="77777777" w:rsidTr="00617FBE">
        <w:tc>
          <w:tcPr>
            <w:tcW w:w="576" w:type="dxa"/>
          </w:tcPr>
          <w:p w14:paraId="4E864290" w14:textId="301B8790" w:rsidR="000179B5" w:rsidRDefault="000179B5" w:rsidP="000179B5">
            <w:pPr>
              <w:jc w:val="center"/>
            </w:pPr>
            <w:r w:rsidRPr="00C7376A">
              <w:lastRenderedPageBreak/>
              <w:t>1</w:t>
            </w:r>
            <w:r w:rsidR="00056A10">
              <w:t>3</w:t>
            </w:r>
          </w:p>
        </w:tc>
        <w:tc>
          <w:tcPr>
            <w:tcW w:w="5040" w:type="dxa"/>
          </w:tcPr>
          <w:p w14:paraId="350DE9F7" w14:textId="77777777" w:rsidR="000179B5" w:rsidRPr="00C7376A" w:rsidRDefault="000179B5" w:rsidP="000179B5">
            <w:pPr>
              <w:pStyle w:val="Default"/>
              <w:jc w:val="both"/>
              <w:rPr>
                <w:rFonts w:ascii="Times New Roman" w:hAnsi="Times New Roman" w:cs="Times New Roman"/>
                <w:color w:val="auto"/>
              </w:rPr>
            </w:pPr>
            <w:r w:rsidRPr="00C7376A">
              <w:rPr>
                <w:rFonts w:ascii="Times New Roman" w:hAnsi="Times New Roman" w:cs="Times New Roman"/>
                <w:color w:val="auto"/>
              </w:rPr>
              <w:t>Eelnõu kohaselt muudetakse KAVS §-i 44 lõiget 3, mida täiendatakse punktiga 12.1. Eelnõu seletuskirja lk 67 kohaselt „</w:t>
            </w:r>
            <w:r w:rsidRPr="00C7376A">
              <w:rPr>
                <w:rFonts w:ascii="Times New Roman" w:hAnsi="Times New Roman" w:cs="Times New Roman"/>
                <w:i/>
                <w:iCs/>
                <w:color w:val="auto"/>
              </w:rPr>
              <w:t xml:space="preserve">Eestis on võimalus saada </w:t>
            </w:r>
            <w:proofErr w:type="spellStart"/>
            <w:r w:rsidRPr="00C7376A">
              <w:rPr>
                <w:rFonts w:ascii="Times New Roman" w:hAnsi="Times New Roman" w:cs="Times New Roman"/>
                <w:i/>
                <w:iCs/>
                <w:color w:val="auto"/>
              </w:rPr>
              <w:t>võlanõustamisteenust</w:t>
            </w:r>
            <w:proofErr w:type="spellEnd"/>
            <w:r w:rsidRPr="00C7376A">
              <w:rPr>
                <w:rFonts w:ascii="Times New Roman" w:hAnsi="Times New Roman" w:cs="Times New Roman"/>
                <w:i/>
                <w:iCs/>
                <w:color w:val="auto"/>
              </w:rPr>
              <w:t xml:space="preserve"> elukohajärgse kohaliku omavalitsuse (KOV) kaudu. Praegu on Eestis võlanõustajate kontaktandmed koondatud minuraha.ee veebiaadressile.</w:t>
            </w:r>
            <w:r w:rsidRPr="00C7376A">
              <w:rPr>
                <w:rFonts w:ascii="Times New Roman" w:hAnsi="Times New Roman" w:cs="Times New Roman"/>
                <w:color w:val="auto"/>
              </w:rPr>
              <w:t xml:space="preserve">“ </w:t>
            </w:r>
          </w:p>
          <w:p w14:paraId="71D587F6" w14:textId="77777777" w:rsidR="000179B5" w:rsidRPr="00C7376A" w:rsidRDefault="000179B5" w:rsidP="000179B5">
            <w:r w:rsidRPr="00C7376A">
              <w:t xml:space="preserve">Finantsinspektsioon juhib tähelepanu, et Minuraha.ee veebilehel olev teave ei ole täielik. Minuraha.ee veebilehel ei sisaldu kõiki isikuid, kes </w:t>
            </w:r>
            <w:proofErr w:type="spellStart"/>
            <w:r w:rsidRPr="00C7376A">
              <w:t>KOV-i</w:t>
            </w:r>
            <w:proofErr w:type="spellEnd"/>
            <w:r w:rsidRPr="00C7376A">
              <w:t xml:space="preserve"> poolt </w:t>
            </w:r>
            <w:proofErr w:type="spellStart"/>
            <w:r w:rsidRPr="00C7376A">
              <w:t>võlanõustamisteenust</w:t>
            </w:r>
            <w:proofErr w:type="spellEnd"/>
            <w:r w:rsidRPr="00C7376A">
              <w:t xml:space="preserve"> pakkuvaid ning ühtlasi sisaldab nimekiri ka selliseid võlanõustajaid, kelle teenus ei ole KOV poolt korraldatud.</w:t>
            </w:r>
          </w:p>
          <w:p w14:paraId="0FB476EA" w14:textId="77777777" w:rsidR="000179B5" w:rsidRDefault="000179B5" w:rsidP="000179B5"/>
        </w:tc>
        <w:tc>
          <w:tcPr>
            <w:tcW w:w="5016" w:type="dxa"/>
          </w:tcPr>
          <w:p w14:paraId="03256497" w14:textId="0FA89C0F" w:rsidR="000179B5" w:rsidRDefault="75B274AF" w:rsidP="00275E1C">
            <w:r w:rsidRPr="39F90B79">
              <w:rPr>
                <w:b/>
                <w:bCs/>
              </w:rPr>
              <w:t>Arvestatud</w:t>
            </w:r>
            <w:r>
              <w:t>.</w:t>
            </w:r>
          </w:p>
          <w:p w14:paraId="27CDE367" w14:textId="05689F67" w:rsidR="000179B5" w:rsidRDefault="00275E1C" w:rsidP="39F90B79">
            <w:r>
              <w:t>Seletuskirja on vastavalt täiendatud.</w:t>
            </w:r>
          </w:p>
          <w:p w14:paraId="61B78CD4" w14:textId="77777777" w:rsidR="00010EC5" w:rsidRDefault="00010EC5" w:rsidP="000179B5">
            <w:pPr>
              <w:jc w:val="left"/>
            </w:pPr>
          </w:p>
          <w:p w14:paraId="5C5B6896" w14:textId="7CE5E8CD" w:rsidR="00C11C08" w:rsidRPr="00C7376A" w:rsidRDefault="00C11C08" w:rsidP="000179B5">
            <w:pPr>
              <w:jc w:val="left"/>
            </w:pPr>
          </w:p>
          <w:p w14:paraId="1942B85E" w14:textId="77777777" w:rsidR="000179B5" w:rsidRDefault="000179B5" w:rsidP="000179B5">
            <w:pPr>
              <w:jc w:val="center"/>
            </w:pPr>
          </w:p>
        </w:tc>
      </w:tr>
      <w:tr w:rsidR="00D22FD2" w14:paraId="304BC27C" w14:textId="77777777" w:rsidTr="00617FBE">
        <w:tc>
          <w:tcPr>
            <w:tcW w:w="576" w:type="dxa"/>
          </w:tcPr>
          <w:p w14:paraId="4BF0744E" w14:textId="606ACA4B" w:rsidR="000179B5" w:rsidRDefault="000179B5" w:rsidP="000179B5">
            <w:pPr>
              <w:jc w:val="center"/>
            </w:pPr>
            <w:r w:rsidRPr="00C7376A">
              <w:lastRenderedPageBreak/>
              <w:t>1</w:t>
            </w:r>
            <w:r w:rsidR="00056A10">
              <w:t>4</w:t>
            </w:r>
          </w:p>
        </w:tc>
        <w:tc>
          <w:tcPr>
            <w:tcW w:w="5040" w:type="dxa"/>
          </w:tcPr>
          <w:p w14:paraId="412D26CB" w14:textId="77777777" w:rsidR="000179B5" w:rsidRPr="00C7376A" w:rsidRDefault="000179B5" w:rsidP="000179B5">
            <w:pPr>
              <w:ind w:right="-5"/>
            </w:pPr>
            <w:r w:rsidRPr="00C7376A">
              <w:t xml:space="preserve">Eelnõu kohaselt täiendatakse KAVS § 50 lõiget 2 </w:t>
            </w:r>
            <w:r w:rsidRPr="00C7376A">
              <w:rPr>
                <w:rFonts w:eastAsia="Arial"/>
              </w:rPr>
              <w:t xml:space="preserve">pärast sõna „krediidiandjale“ tekstiosaga „kooskõlas Euroopa Parlamendi ja nõukogu määrusega (EL) 2016/679 füüsiliste isikute kaitse kohta </w:t>
            </w:r>
            <w:r w:rsidRPr="00C7376A">
              <w:t xml:space="preserve">isikuandmete töötlemisel ja selliste andmete vaba liikumise ning direktiivi 95/46/EÜ kehtetuks tunnistamise kohta (isikuandmete kaitse </w:t>
            </w:r>
            <w:proofErr w:type="spellStart"/>
            <w:r w:rsidRPr="00C7376A">
              <w:t>üldmäärus</w:t>
            </w:r>
            <w:proofErr w:type="spellEnd"/>
            <w:r w:rsidRPr="00C7376A">
              <w:t>) (ELT L 119, 04.05.2016, lk 1</w:t>
            </w:r>
            <w:r w:rsidRPr="00C7376A">
              <w:rPr>
                <w:rFonts w:eastAsia="Arial"/>
              </w:rPr>
              <w:t>–88)“</w:t>
            </w:r>
            <w:r w:rsidRPr="00C7376A">
              <w:t xml:space="preserve">.  </w:t>
            </w:r>
          </w:p>
          <w:p w14:paraId="7C360C3D" w14:textId="77777777" w:rsidR="000179B5" w:rsidRPr="00C7376A" w:rsidRDefault="000179B5" w:rsidP="000179B5">
            <w:r w:rsidRPr="00C7376A">
              <w:t xml:space="preserve"> </w:t>
            </w:r>
          </w:p>
          <w:p w14:paraId="40807FD7" w14:textId="77777777" w:rsidR="000179B5" w:rsidRPr="00C7376A" w:rsidRDefault="000179B5" w:rsidP="000179B5">
            <w:pPr>
              <w:ind w:left="-5"/>
            </w:pPr>
            <w:r w:rsidRPr="00C7376A">
              <w:t xml:space="preserve">Eelnõu sõnastusest ei selgu üheselt, milline saab olema KAVS § 50 lõike 2 terviktekst pärast </w:t>
            </w:r>
            <w:r w:rsidRPr="00C7376A">
              <w:rPr>
                <w:rFonts w:eastAsia="Arial"/>
              </w:rPr>
              <w:t xml:space="preserve">muudatuse jõustumist. Eelnõus on märgitud, et lõiget täiendatakse pärast sõna „krediidiandjale“ tekstiosaga „kooskõlas Euroopa Parlamendi ja nõukogu määrusega (EL) 2016/679 …“, kuid kehtivat </w:t>
            </w:r>
            <w:r w:rsidRPr="00C7376A">
              <w:t xml:space="preserve">redaktsiooni arvestades ei ole selline lisand normitehniliselt üheselt mõistetav. Kehtiva KAVS sõnastuse kohaselt on krediidivahendaja kohustatud krediidiandjale edastama tarbija kohta kogu teadaoleva teabe, mis on kogutud lepingueelsete läbirääkimiste käigus ning mis on vajalik tarbija krediidivõimelisuse hindamiseks. Kui eelnõus viidatud tekstiosa lisatakse vahetult pärast sõna </w:t>
            </w:r>
            <w:r w:rsidRPr="00C7376A">
              <w:rPr>
                <w:rFonts w:eastAsia="Arial"/>
              </w:rPr>
              <w:t>„krediidiandjale“, katkeb lause grammatiline ja sisuline loogika</w:t>
            </w:r>
            <w:r w:rsidRPr="00C7376A">
              <w:t xml:space="preserve">. </w:t>
            </w:r>
          </w:p>
          <w:p w14:paraId="1CB5225D" w14:textId="77777777" w:rsidR="000179B5" w:rsidRPr="00C7376A" w:rsidRDefault="000179B5" w:rsidP="000179B5">
            <w:r w:rsidRPr="00C7376A">
              <w:t xml:space="preserve"> </w:t>
            </w:r>
          </w:p>
          <w:p w14:paraId="62AAC33A" w14:textId="528603BB" w:rsidR="000179B5" w:rsidRDefault="000179B5" w:rsidP="007661C3">
            <w:pPr>
              <w:ind w:left="-5"/>
            </w:pPr>
            <w:r w:rsidRPr="00C7376A">
              <w:t xml:space="preserve">Finantsinspektsioon teeb ettepaneku kaaluda sätte sõnastamist viisil, mis lähtub enam direktiivist, mille kohaselt on krediidivahendaja kohustatud krediidiandjale esitama kogu teabe, mis on tarbija kohta kogutud ning seda kooskõlas isikuandmete kaitse </w:t>
            </w:r>
            <w:proofErr w:type="spellStart"/>
            <w:r w:rsidRPr="00C7376A">
              <w:t>üldmäärusega</w:t>
            </w:r>
            <w:proofErr w:type="spellEnd"/>
            <w:r w:rsidRPr="00C7376A">
              <w:t xml:space="preserve">, et võimaldada krediidivõimelisuse hindamist. Sellest lähtudes võiks KAVS § 50 lõike 2 sõnastada näiteks järgmiselt: </w:t>
            </w:r>
            <w:r w:rsidRPr="00C7376A">
              <w:rPr>
                <w:rFonts w:eastAsia="Arial"/>
              </w:rPr>
              <w:t xml:space="preserve">„Krediidivahendaja esitab </w:t>
            </w:r>
            <w:r w:rsidRPr="00C7376A">
              <w:t xml:space="preserve">tarbijalt saadud vajaliku teabe õigesti asjaomasele krediidiandjale kooskõlas Euroopa Parlamendi ja nõukogu määrusega (EL) 2016/679 füüsiliste isikute kaitse kohta isikuandmete töötlemisel ja selliste andmete vaba liikumise ning direktiivi 95/46/EÜ kehtetuks tunnistamise kohta (isikuandmete kaitse </w:t>
            </w:r>
            <w:proofErr w:type="spellStart"/>
            <w:r w:rsidRPr="00C7376A">
              <w:t>üldmäärus</w:t>
            </w:r>
            <w:proofErr w:type="spellEnd"/>
            <w:r w:rsidRPr="00C7376A">
              <w:t>) (ELT L 119, 04.05.2016, lk 1</w:t>
            </w:r>
            <w:r w:rsidRPr="00C7376A">
              <w:rPr>
                <w:rFonts w:eastAsia="Arial"/>
              </w:rPr>
              <w:t>–</w:t>
            </w:r>
            <w:r w:rsidRPr="00C7376A">
              <w:t xml:space="preserve">88), et võimaldada tarbija </w:t>
            </w:r>
            <w:r w:rsidRPr="00C7376A">
              <w:rPr>
                <w:rFonts w:eastAsia="Arial"/>
              </w:rPr>
              <w:t>krediidivõimelisuse hindamist.“</w:t>
            </w:r>
            <w:r w:rsidRPr="00C7376A">
              <w:t xml:space="preserve"> </w:t>
            </w:r>
          </w:p>
        </w:tc>
        <w:tc>
          <w:tcPr>
            <w:tcW w:w="5016" w:type="dxa"/>
          </w:tcPr>
          <w:p w14:paraId="106BFB79" w14:textId="027E435D" w:rsidR="3609B5E9" w:rsidRDefault="3609B5E9" w:rsidP="0C634A34">
            <w:r w:rsidRPr="4F9C3440">
              <w:rPr>
                <w:b/>
              </w:rPr>
              <w:t>Arvestatud</w:t>
            </w:r>
            <w:r>
              <w:t>.</w:t>
            </w:r>
          </w:p>
          <w:p w14:paraId="287C6257" w14:textId="72876042" w:rsidR="3609B5E9" w:rsidRDefault="3609B5E9" w:rsidP="0C634A34">
            <w:r>
              <w:t xml:space="preserve">Eelnõu sõnastust on vastavalt muudetud. </w:t>
            </w:r>
          </w:p>
          <w:p w14:paraId="4C1081AE" w14:textId="2A67719A" w:rsidR="00A1025D" w:rsidRDefault="00A1025D" w:rsidP="000179B5">
            <w:pPr>
              <w:jc w:val="center"/>
            </w:pPr>
          </w:p>
        </w:tc>
      </w:tr>
      <w:tr w:rsidR="00D22FD2" w14:paraId="6F2A860A" w14:textId="77777777" w:rsidTr="00617FBE">
        <w:tc>
          <w:tcPr>
            <w:tcW w:w="576" w:type="dxa"/>
          </w:tcPr>
          <w:p w14:paraId="6570D374" w14:textId="47ADCD3B" w:rsidR="000179B5" w:rsidRDefault="000179B5" w:rsidP="000179B5">
            <w:pPr>
              <w:jc w:val="center"/>
            </w:pPr>
            <w:r w:rsidRPr="00C7376A">
              <w:t>1</w:t>
            </w:r>
            <w:r w:rsidR="00056A10">
              <w:t>5</w:t>
            </w:r>
          </w:p>
        </w:tc>
        <w:tc>
          <w:tcPr>
            <w:tcW w:w="5040" w:type="dxa"/>
          </w:tcPr>
          <w:p w14:paraId="540422A1" w14:textId="77777777" w:rsidR="000179B5" w:rsidRPr="00C7376A" w:rsidRDefault="000179B5" w:rsidP="000179B5">
            <w:pPr>
              <w:ind w:left="10" w:right="-5"/>
            </w:pPr>
            <w:r w:rsidRPr="00C7376A">
              <w:rPr>
                <w:rFonts w:eastAsia="Arial"/>
              </w:rPr>
              <w:t>Eelnõu kohaselt KAVS § 50 lõige 3 muudetakse ja sõnastatakse järgmiselt: „</w:t>
            </w:r>
            <w:r w:rsidRPr="00C7376A">
              <w:rPr>
                <w:rFonts w:eastAsia="Arial"/>
                <w:i/>
              </w:rPr>
              <w:t xml:space="preserve">Krediidiandja või -vahendaja kontrollib tarbija esitatud teavet, arvestades käesolevas seaduses ja võlaõigusseaduses sätestatud nõudeid </w:t>
            </w:r>
            <w:r w:rsidRPr="00C7376A">
              <w:rPr>
                <w:rFonts w:eastAsia="Arial"/>
                <w:i/>
              </w:rPr>
              <w:lastRenderedPageBreak/>
              <w:t xml:space="preserve">informatsiooni kogumisele ja tuginedes </w:t>
            </w:r>
            <w:r w:rsidRPr="00C7376A">
              <w:rPr>
                <w:rFonts w:eastAsia="Arial"/>
                <w:i/>
                <w:u w:val="single"/>
              </w:rPr>
              <w:t>vajaduse korral</w:t>
            </w:r>
            <w:r w:rsidRPr="00C7376A">
              <w:rPr>
                <w:rFonts w:eastAsia="Arial"/>
                <w:i/>
              </w:rPr>
              <w:t xml:space="preserve"> talle iseseisvalt kättesaadavale teabele.“</w:t>
            </w:r>
            <w:r w:rsidRPr="00C7376A">
              <w:t xml:space="preserve"> </w:t>
            </w:r>
          </w:p>
          <w:p w14:paraId="3DB14A23" w14:textId="77777777" w:rsidR="000179B5" w:rsidRPr="00C7376A" w:rsidRDefault="000179B5" w:rsidP="000179B5">
            <w:r w:rsidRPr="00C7376A">
              <w:t xml:space="preserve"> </w:t>
            </w:r>
          </w:p>
          <w:p w14:paraId="5575FDC6" w14:textId="77777777" w:rsidR="000179B5" w:rsidRPr="00C7376A" w:rsidRDefault="000179B5" w:rsidP="000179B5">
            <w:pPr>
              <w:ind w:left="-5"/>
            </w:pPr>
            <w:r w:rsidRPr="00C7376A">
              <w:t xml:space="preserve">CCDII artikkel 18 lõige 3 nõuab, et kogutud teavet kontrollitakse asjakohaselt ning vajaduse korral seotakse see sõltumatult kontrollitava dokumentatsiooniga. See tähendab sisulist ja usaldusväärsust tagavat kontrollikohustust, mis eeldab vajaduse korral objektiivsete tõendite kasutamist. Eelnõus pakutud KAVS § 50 lõige 3 piirdub aga üldise kohustusega kontrollida tarbija esitatud teavet ning tugineda vajaduse korral iseseisvalt kättesaadavale teabele. </w:t>
            </w:r>
            <w:r w:rsidRPr="00C7376A">
              <w:rPr>
                <w:rFonts w:eastAsia="Arial"/>
              </w:rPr>
              <w:t xml:space="preserve">„Iseseisvalt kättesaadav teave“ ei </w:t>
            </w:r>
            <w:r w:rsidRPr="00C7376A">
              <w:t xml:space="preserve">tähenda tingimata sõltumatut ega objektiivselt verifitseeritavat allikat. See võib hõlmata krediidiandja enda infosüsteeme, varasemaid kliendiandmeid või muid sisemisi andmebaase. Selline teave ei pruugi olla sõltumatu tõendusallikas tarbija esitatud andmete kontrollimiseks. Erinevalt CCDII sätestatud lähenemisest ei nõua eelnõu sõnastus, et kontroll oleks sisuline ja suunatud andmete usaldusväärsuse tagamisele objektiivsete tõendite abil. Seega võib normi täitmine praktikas piirduda formaalse kontrolliga, mis ei taga tegelikku sõltumatut verifitseerimist. </w:t>
            </w:r>
          </w:p>
          <w:p w14:paraId="2A9585B3" w14:textId="77777777" w:rsidR="000179B5" w:rsidRPr="00C7376A" w:rsidRDefault="000179B5" w:rsidP="000179B5">
            <w:r w:rsidRPr="00C7376A">
              <w:t xml:space="preserve"> </w:t>
            </w:r>
          </w:p>
          <w:p w14:paraId="4536E5AA" w14:textId="77777777" w:rsidR="000179B5" w:rsidRPr="00C7376A" w:rsidRDefault="000179B5" w:rsidP="000179B5">
            <w:pPr>
              <w:ind w:left="-5"/>
            </w:pPr>
            <w:r w:rsidRPr="00C7376A">
              <w:t xml:space="preserve">Finantsinspektsioon leiab, et eelnõus kasutatud sõnastus ei kehtesta selget ega piisavalt määratletud kohustust kasutada krediidivõimelisuse hindamisel sõltumatuid allikaid või sõltumatult kontrollitavat dokumentatsiooni. Kui eesmärk on tagada direktiivis ette nähtud sisuline kontrollistandard, peaks see nõue olema normis selgesõnaliselt väljendatud. </w:t>
            </w:r>
          </w:p>
          <w:p w14:paraId="346D0320" w14:textId="77777777" w:rsidR="000179B5" w:rsidRDefault="000179B5" w:rsidP="000179B5"/>
        </w:tc>
        <w:tc>
          <w:tcPr>
            <w:tcW w:w="5016" w:type="dxa"/>
          </w:tcPr>
          <w:p w14:paraId="7A1AE1B3" w14:textId="72F4DB15" w:rsidR="6E986FEE" w:rsidRDefault="6E986FEE" w:rsidP="3EBCE38F">
            <w:r w:rsidRPr="39F90B79">
              <w:rPr>
                <w:b/>
                <w:bCs/>
              </w:rPr>
              <w:lastRenderedPageBreak/>
              <w:t>Arvestatud</w:t>
            </w:r>
            <w:r w:rsidR="1A999F34" w:rsidRPr="39F90B79">
              <w:rPr>
                <w:b/>
                <w:bCs/>
              </w:rPr>
              <w:t xml:space="preserve"> osaliselt</w:t>
            </w:r>
            <w:r w:rsidRPr="39F90B79">
              <w:rPr>
                <w:b/>
                <w:bCs/>
              </w:rPr>
              <w:t xml:space="preserve"> / Selgitatud</w:t>
            </w:r>
            <w:r>
              <w:t xml:space="preserve">. </w:t>
            </w:r>
          </w:p>
          <w:p w14:paraId="3DE66352" w14:textId="67CC7BD1" w:rsidR="3D704082" w:rsidRDefault="5E9D4CBB" w:rsidP="39F90B79">
            <w:pPr>
              <w:rPr>
                <w:rFonts w:eastAsia="Times New Roman"/>
                <w:color w:val="000000" w:themeColor="text1"/>
              </w:rPr>
            </w:pPr>
            <w:r w:rsidRPr="39F90B79">
              <w:rPr>
                <w:rFonts w:eastAsia="Times New Roman"/>
                <w:color w:val="000000" w:themeColor="text1"/>
              </w:rPr>
              <w:t>Esiteks on oluline selgitada, et d</w:t>
            </w:r>
            <w:r w:rsidR="418015FD" w:rsidRPr="39F90B79">
              <w:rPr>
                <w:rFonts w:eastAsia="Times New Roman"/>
                <w:color w:val="000000" w:themeColor="text1"/>
              </w:rPr>
              <w:t>irektiiv</w:t>
            </w:r>
            <w:r w:rsidR="020E56C6" w:rsidRPr="39F90B79">
              <w:rPr>
                <w:rFonts w:eastAsia="Times New Roman"/>
                <w:color w:val="000000" w:themeColor="text1"/>
              </w:rPr>
              <w:t>i</w:t>
            </w:r>
            <w:r w:rsidR="418015FD" w:rsidRPr="39F90B79">
              <w:rPr>
                <w:rFonts w:eastAsia="Times New Roman"/>
                <w:color w:val="000000" w:themeColor="text1"/>
              </w:rPr>
              <w:t xml:space="preserve"> artikli 18 lg 3 tei</w:t>
            </w:r>
            <w:r w:rsidR="76E32BF0" w:rsidRPr="39F90B79">
              <w:rPr>
                <w:rFonts w:eastAsia="Times New Roman"/>
                <w:color w:val="000000" w:themeColor="text1"/>
              </w:rPr>
              <w:t>se</w:t>
            </w:r>
            <w:r w:rsidR="418015FD" w:rsidRPr="39F90B79">
              <w:rPr>
                <w:rFonts w:eastAsia="Times New Roman"/>
                <w:color w:val="000000" w:themeColor="text1"/>
              </w:rPr>
              <w:t xml:space="preserve"> </w:t>
            </w:r>
            <w:r w:rsidR="640D7198" w:rsidRPr="39F90B79">
              <w:rPr>
                <w:rFonts w:eastAsia="Times New Roman"/>
                <w:color w:val="000000" w:themeColor="text1"/>
              </w:rPr>
              <w:t xml:space="preserve">alalõigu täpsemaks ülevõtmiseks on eelnõukohast KAVS § 50 võrreldes kooskõlastusele saadetud versiooniga täpsustatud. </w:t>
            </w:r>
            <w:r w:rsidR="7C26D8C6" w:rsidRPr="51842161">
              <w:rPr>
                <w:rFonts w:eastAsia="Times New Roman"/>
                <w:color w:val="000000" w:themeColor="text1"/>
              </w:rPr>
              <w:t>D</w:t>
            </w:r>
            <w:r w:rsidR="528E3959" w:rsidRPr="51842161">
              <w:rPr>
                <w:rFonts w:eastAsia="Times New Roman"/>
                <w:color w:val="000000" w:themeColor="text1"/>
              </w:rPr>
              <w:t>irektiivi</w:t>
            </w:r>
            <w:r w:rsidR="640D7198" w:rsidRPr="39F90B79">
              <w:rPr>
                <w:rFonts w:eastAsia="Times New Roman"/>
                <w:color w:val="000000" w:themeColor="text1"/>
              </w:rPr>
              <w:t xml:space="preserve"> artikli 18 lõige 3 teine alalõik ei piirdu </w:t>
            </w:r>
            <w:r w:rsidR="640D7198" w:rsidRPr="39F90B79">
              <w:rPr>
                <w:rFonts w:eastAsia="Times New Roman"/>
                <w:color w:val="000000" w:themeColor="text1"/>
              </w:rPr>
              <w:lastRenderedPageBreak/>
              <w:t xml:space="preserve">üksnes tarbijalt </w:t>
            </w:r>
            <w:r w:rsidR="2432E725" w:rsidRPr="39F90B79">
              <w:rPr>
                <w:rFonts w:eastAsia="Times New Roman"/>
                <w:color w:val="000000" w:themeColor="text1"/>
              </w:rPr>
              <w:t>saadava teabe kontrollimisega</w:t>
            </w:r>
            <w:r w:rsidR="1E9FCF99" w:rsidRPr="39F90B79">
              <w:rPr>
                <w:rFonts w:eastAsia="Times New Roman"/>
                <w:color w:val="000000" w:themeColor="text1"/>
              </w:rPr>
              <w:t>, vaid see on laiem. Seetõttu on muudetud KAVS § 50 pealkirja ja ka lõiget 3. Lõige 1 on tegelikult juba ka kehtivas õiguses laiema sõnastusega.</w:t>
            </w:r>
          </w:p>
          <w:p w14:paraId="1BC57517" w14:textId="1B3BFE5C" w:rsidR="3D704082" w:rsidRDefault="3D704082" w:rsidP="39F90B79">
            <w:pPr>
              <w:rPr>
                <w:rFonts w:eastAsia="Times New Roman"/>
                <w:color w:val="000000" w:themeColor="text1"/>
              </w:rPr>
            </w:pPr>
          </w:p>
          <w:p w14:paraId="255C575A" w14:textId="3A1BCF6B" w:rsidR="3D704082" w:rsidRDefault="1E9FCF99" w:rsidP="39F90B79">
            <w:pPr>
              <w:rPr>
                <w:rFonts w:eastAsia="Times New Roman"/>
                <w:color w:val="000000" w:themeColor="text1"/>
              </w:rPr>
            </w:pPr>
            <w:r w:rsidRPr="39F90B79">
              <w:rPr>
                <w:rFonts w:eastAsia="Times New Roman"/>
                <w:color w:val="000000" w:themeColor="text1"/>
              </w:rPr>
              <w:t>Teiseks. Direktiivi artikli 18 lg 3 teine ala</w:t>
            </w:r>
            <w:r w:rsidR="418015FD" w:rsidRPr="39F90B79">
              <w:rPr>
                <w:rFonts w:eastAsia="Times New Roman"/>
                <w:color w:val="000000" w:themeColor="text1"/>
              </w:rPr>
              <w:t>lõik kasutab sõnastust „</w:t>
            </w:r>
            <w:r w:rsidR="390F08A5" w:rsidRPr="39F90B79">
              <w:rPr>
                <w:rFonts w:eastAsia="Times New Roman"/>
                <w:color w:val="000000" w:themeColor="text1"/>
              </w:rPr>
              <w:t xml:space="preserve">teavet </w:t>
            </w:r>
            <w:r w:rsidR="418015FD" w:rsidRPr="39F90B79">
              <w:rPr>
                <w:rFonts w:eastAsia="Times New Roman"/>
                <w:color w:val="000000" w:themeColor="text1"/>
              </w:rPr>
              <w:t xml:space="preserve">kontrollitakse asjakohaselt“. Sama sõnastus on muu hulgas ka direktiivi 2014/17/EL (hüpoteekkrediidi direktiiv) artikli 20 lg 1 viimases lauses, mille kohaselt kontrollitakse teavet asjakohaselt, sealhulgas kasutades vajaduse korral sõltumatult kontrollitavat dokumentatsiooni. </w:t>
            </w:r>
            <w:r w:rsidR="32DA313A" w:rsidRPr="39F90B79">
              <w:rPr>
                <w:rFonts w:eastAsia="Times New Roman"/>
                <w:color w:val="000000" w:themeColor="text1"/>
              </w:rPr>
              <w:t>Võrreldes eelnõu esialgse versiooniga</w:t>
            </w:r>
            <w:r w:rsidR="418015FD" w:rsidRPr="39F90B79">
              <w:rPr>
                <w:rFonts w:eastAsia="Times New Roman"/>
                <w:color w:val="000000" w:themeColor="text1"/>
              </w:rPr>
              <w:t xml:space="preserve"> on KAVS § 50 lõike 3 sõnastust täiendatud selliselt, et see sätestab teabe kontrollimise kohustuse </w:t>
            </w:r>
            <w:r w:rsidR="418015FD" w:rsidRPr="39F90B79">
              <w:rPr>
                <w:rFonts w:eastAsia="Times New Roman"/>
                <w:i/>
                <w:iCs/>
                <w:color w:val="000000" w:themeColor="text1"/>
              </w:rPr>
              <w:t>asjakohaselt</w:t>
            </w:r>
            <w:r w:rsidR="418015FD" w:rsidRPr="39F90B79">
              <w:rPr>
                <w:rFonts w:eastAsia="Times New Roman"/>
                <w:color w:val="000000" w:themeColor="text1"/>
              </w:rPr>
              <w:t>.</w:t>
            </w:r>
            <w:r w:rsidR="64DFA3D2" w:rsidRPr="39F90B79">
              <w:rPr>
                <w:rFonts w:eastAsia="Times New Roman"/>
                <w:color w:val="000000" w:themeColor="text1"/>
              </w:rPr>
              <w:t xml:space="preserve"> Samuti on eelnõu seletuskirja täiendatud lisaselgitustega teabe kontrollimise ulatuse ja sisu kohta. </w:t>
            </w:r>
          </w:p>
          <w:p w14:paraId="00AA5DEF" w14:textId="6BA66036" w:rsidR="6336F3ED" w:rsidRDefault="6336F3ED" w:rsidP="6336F3ED">
            <w:pPr>
              <w:rPr>
                <w:rFonts w:eastAsia="Times New Roman"/>
                <w:color w:val="000000" w:themeColor="text1"/>
              </w:rPr>
            </w:pPr>
          </w:p>
          <w:p w14:paraId="2C9D4035" w14:textId="6858589E" w:rsidR="64DFA3D2" w:rsidRDefault="555CCD96" w:rsidP="33276C4F">
            <w:pPr>
              <w:rPr>
                <w:rFonts w:eastAsia="Times New Roman"/>
                <w:color w:val="000000" w:themeColor="text1"/>
              </w:rPr>
            </w:pPr>
            <w:r w:rsidRPr="3EE41C98">
              <w:rPr>
                <w:rFonts w:eastAsia="Times New Roman"/>
                <w:color w:val="000000" w:themeColor="text1"/>
              </w:rPr>
              <w:t xml:space="preserve">Kolmandaks. </w:t>
            </w:r>
            <w:r w:rsidR="40E00C41" w:rsidRPr="3EE41C98">
              <w:rPr>
                <w:rFonts w:eastAsia="Times New Roman"/>
                <w:color w:val="000000" w:themeColor="text1"/>
              </w:rPr>
              <w:t xml:space="preserve">Nõue, et </w:t>
            </w:r>
            <w:r w:rsidR="37A86562" w:rsidRPr="3EE41C98">
              <w:rPr>
                <w:rFonts w:eastAsia="Times New Roman"/>
                <w:color w:val="000000" w:themeColor="text1"/>
              </w:rPr>
              <w:t xml:space="preserve">krediidiandja peab vajaduse korral tuginema talle iseseisvalt kättesaadavale teabele, tuleneb </w:t>
            </w:r>
            <w:r w:rsidR="1B0B7B40" w:rsidRPr="3EE41C98">
              <w:rPr>
                <w:rFonts w:eastAsia="Times New Roman"/>
                <w:color w:val="000000" w:themeColor="text1"/>
              </w:rPr>
              <w:t>samuti direktiivi artikli 18 lõike</w:t>
            </w:r>
            <w:r w:rsidR="57DA4269" w:rsidRPr="3EE41C98">
              <w:rPr>
                <w:rFonts w:eastAsia="Times New Roman"/>
                <w:color w:val="000000" w:themeColor="text1"/>
              </w:rPr>
              <w:t xml:space="preserve"> </w:t>
            </w:r>
            <w:r w:rsidR="1B0B7B40" w:rsidRPr="3EE41C98">
              <w:rPr>
                <w:rFonts w:eastAsia="Times New Roman"/>
                <w:color w:val="000000" w:themeColor="text1"/>
              </w:rPr>
              <w:t>3</w:t>
            </w:r>
            <w:r w:rsidR="6FB11DB4" w:rsidRPr="3EE41C98">
              <w:rPr>
                <w:rFonts w:eastAsia="Times New Roman"/>
                <w:color w:val="000000" w:themeColor="text1"/>
              </w:rPr>
              <w:t xml:space="preserve"> teisest alalõigust</w:t>
            </w:r>
            <w:r w:rsidR="1EC8D4EF" w:rsidRPr="3EE41C98">
              <w:rPr>
                <w:rFonts w:eastAsia="Times New Roman"/>
                <w:color w:val="000000" w:themeColor="text1"/>
              </w:rPr>
              <w:t>, täpsemalt selle viimasest osast</w:t>
            </w:r>
            <w:r w:rsidR="1B0B7B40" w:rsidRPr="3EE41C98">
              <w:rPr>
                <w:rFonts w:eastAsia="Times New Roman"/>
                <w:color w:val="000000" w:themeColor="text1"/>
              </w:rPr>
              <w:t xml:space="preserve">. </w:t>
            </w:r>
            <w:r w:rsidR="61C9EC09" w:rsidRPr="3EE41C98">
              <w:rPr>
                <w:rFonts w:eastAsia="Times New Roman"/>
                <w:color w:val="000000" w:themeColor="text1"/>
              </w:rPr>
              <w:t xml:space="preserve">Inglise keeles on vastav sõnastus </w:t>
            </w:r>
            <w:proofErr w:type="spellStart"/>
            <w:r w:rsidR="61C9EC09" w:rsidRPr="3EE41C98">
              <w:rPr>
                <w:rFonts w:eastAsia="Times New Roman"/>
                <w:i/>
                <w:iCs/>
                <w:color w:val="000000" w:themeColor="text1"/>
              </w:rPr>
              <w:t>where</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necessary</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through</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reference</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to</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independently</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verifiable</w:t>
            </w:r>
            <w:proofErr w:type="spellEnd"/>
            <w:r w:rsidR="61C9EC09" w:rsidRPr="3EE41C98">
              <w:rPr>
                <w:rFonts w:eastAsia="Times New Roman"/>
                <w:i/>
                <w:iCs/>
                <w:color w:val="000000" w:themeColor="text1"/>
              </w:rPr>
              <w:t xml:space="preserve"> </w:t>
            </w:r>
            <w:proofErr w:type="spellStart"/>
            <w:r w:rsidR="61C9EC09" w:rsidRPr="3EE41C98">
              <w:rPr>
                <w:rFonts w:eastAsia="Times New Roman"/>
                <w:i/>
                <w:iCs/>
                <w:color w:val="000000" w:themeColor="text1"/>
              </w:rPr>
              <w:t>documentation</w:t>
            </w:r>
            <w:proofErr w:type="spellEnd"/>
            <w:r w:rsidR="61C9EC09" w:rsidRPr="3EE41C98">
              <w:rPr>
                <w:rFonts w:eastAsia="Times New Roman"/>
                <w:color w:val="000000" w:themeColor="text1"/>
              </w:rPr>
              <w:t xml:space="preserve">. Saksa </w:t>
            </w:r>
            <w:r w:rsidR="3EED22FA" w:rsidRPr="3EE41C98">
              <w:rPr>
                <w:rFonts w:eastAsia="Times New Roman"/>
                <w:color w:val="000000" w:themeColor="text1"/>
              </w:rPr>
              <w:t xml:space="preserve">keeles on </w:t>
            </w:r>
            <w:r w:rsidR="2A6CDBEC" w:rsidRPr="3EE41C98">
              <w:rPr>
                <w:rFonts w:eastAsia="Times New Roman"/>
                <w:color w:val="000000" w:themeColor="text1"/>
              </w:rPr>
              <w:t xml:space="preserve">vastav </w:t>
            </w:r>
            <w:r w:rsidR="3EED22FA" w:rsidRPr="3EE41C98">
              <w:rPr>
                <w:rFonts w:eastAsia="Times New Roman"/>
                <w:color w:val="000000" w:themeColor="text1"/>
              </w:rPr>
              <w:t xml:space="preserve">sõnastus </w:t>
            </w:r>
            <w:proofErr w:type="spellStart"/>
            <w:r w:rsidR="3EED22FA" w:rsidRPr="3EE41C98">
              <w:rPr>
                <w:rFonts w:eastAsia="Times New Roman"/>
                <w:i/>
                <w:iCs/>
                <w:color w:val="000000" w:themeColor="text1"/>
              </w:rPr>
              <w:t>erforderlichenfalls</w:t>
            </w:r>
            <w:proofErr w:type="spellEnd"/>
            <w:r w:rsidR="3EED22FA" w:rsidRPr="3EE41C98">
              <w:rPr>
                <w:rFonts w:eastAsia="Times New Roman"/>
                <w:i/>
                <w:iCs/>
                <w:color w:val="000000" w:themeColor="text1"/>
              </w:rPr>
              <w:t xml:space="preserve"> </w:t>
            </w:r>
            <w:proofErr w:type="spellStart"/>
            <w:r w:rsidR="3EED22FA" w:rsidRPr="3EE41C98">
              <w:rPr>
                <w:rFonts w:eastAsia="Times New Roman"/>
                <w:i/>
                <w:iCs/>
                <w:color w:val="000000" w:themeColor="text1"/>
              </w:rPr>
              <w:t>durch</w:t>
            </w:r>
            <w:proofErr w:type="spellEnd"/>
            <w:r w:rsidR="3EED22FA" w:rsidRPr="3EE41C98">
              <w:rPr>
                <w:rFonts w:eastAsia="Times New Roman"/>
                <w:i/>
                <w:iCs/>
                <w:color w:val="000000" w:themeColor="text1"/>
              </w:rPr>
              <w:t xml:space="preserve"> </w:t>
            </w:r>
            <w:proofErr w:type="spellStart"/>
            <w:r w:rsidR="3EED22FA" w:rsidRPr="3EE41C98">
              <w:rPr>
                <w:rFonts w:eastAsia="Times New Roman"/>
                <w:i/>
                <w:iCs/>
                <w:color w:val="000000" w:themeColor="text1"/>
              </w:rPr>
              <w:t>Einsichtnahme</w:t>
            </w:r>
            <w:proofErr w:type="spellEnd"/>
            <w:r w:rsidR="3EED22FA" w:rsidRPr="3EE41C98">
              <w:rPr>
                <w:rFonts w:eastAsia="Times New Roman"/>
                <w:i/>
                <w:iCs/>
                <w:color w:val="000000" w:themeColor="text1"/>
              </w:rPr>
              <w:t xml:space="preserve"> in </w:t>
            </w:r>
            <w:proofErr w:type="spellStart"/>
            <w:r w:rsidR="3EED22FA" w:rsidRPr="3EE41C98">
              <w:rPr>
                <w:rFonts w:eastAsia="Times New Roman"/>
                <w:i/>
                <w:iCs/>
                <w:color w:val="000000" w:themeColor="text1"/>
              </w:rPr>
              <w:t>unabhängig</w:t>
            </w:r>
            <w:proofErr w:type="spellEnd"/>
            <w:r w:rsidR="3EED22FA" w:rsidRPr="3EE41C98">
              <w:rPr>
                <w:rFonts w:eastAsia="Times New Roman"/>
                <w:i/>
                <w:iCs/>
                <w:color w:val="000000" w:themeColor="text1"/>
              </w:rPr>
              <w:t xml:space="preserve"> </w:t>
            </w:r>
            <w:proofErr w:type="spellStart"/>
            <w:r w:rsidR="3EED22FA" w:rsidRPr="3EE41C98">
              <w:rPr>
                <w:rFonts w:eastAsia="Times New Roman"/>
                <w:i/>
                <w:iCs/>
                <w:color w:val="000000" w:themeColor="text1"/>
              </w:rPr>
              <w:t>überprüfbare</w:t>
            </w:r>
            <w:proofErr w:type="spellEnd"/>
            <w:r w:rsidR="3EED22FA" w:rsidRPr="3EE41C98">
              <w:rPr>
                <w:rFonts w:eastAsia="Times New Roman"/>
                <w:i/>
                <w:iCs/>
                <w:color w:val="000000" w:themeColor="text1"/>
              </w:rPr>
              <w:t xml:space="preserve"> </w:t>
            </w:r>
            <w:proofErr w:type="spellStart"/>
            <w:r w:rsidR="3EED22FA" w:rsidRPr="3EE41C98">
              <w:rPr>
                <w:rFonts w:eastAsia="Times New Roman"/>
                <w:i/>
                <w:iCs/>
                <w:color w:val="000000" w:themeColor="text1"/>
              </w:rPr>
              <w:t>Unterlagen</w:t>
            </w:r>
            <w:proofErr w:type="spellEnd"/>
            <w:r w:rsidR="3EED22FA" w:rsidRPr="3EE41C98">
              <w:rPr>
                <w:rFonts w:eastAsia="Times New Roman"/>
                <w:color w:val="000000" w:themeColor="text1"/>
              </w:rPr>
              <w:t>.</w:t>
            </w:r>
            <w:r w:rsidR="2C84DD8C" w:rsidRPr="3EE41C98">
              <w:rPr>
                <w:rFonts w:eastAsia="Times New Roman"/>
                <w:color w:val="000000" w:themeColor="text1"/>
              </w:rPr>
              <w:t xml:space="preserve"> </w:t>
            </w:r>
          </w:p>
          <w:p w14:paraId="69CB4A5F" w14:textId="47E209A0" w:rsidR="39F90B79" w:rsidRDefault="39F90B79" w:rsidP="39F90B79">
            <w:pPr>
              <w:rPr>
                <w:rFonts w:eastAsia="Times New Roman"/>
                <w:color w:val="000000" w:themeColor="text1"/>
              </w:rPr>
            </w:pPr>
          </w:p>
          <w:p w14:paraId="551DB160" w14:textId="24BC453E" w:rsidR="00A7336F" w:rsidRDefault="30AADABB" w:rsidP="7C3CE6FA">
            <w:pPr>
              <w:rPr>
                <w:rFonts w:eastAsia="Times New Roman"/>
                <w:color w:val="000000" w:themeColor="text1"/>
              </w:rPr>
            </w:pPr>
            <w:r w:rsidRPr="3EE41C98">
              <w:rPr>
                <w:rFonts w:eastAsia="Times New Roman"/>
                <w:color w:val="000000" w:themeColor="text1"/>
              </w:rPr>
              <w:t xml:space="preserve">Kõigis keeleversioonides on tegemist </w:t>
            </w:r>
            <w:r w:rsidR="24A963EE" w:rsidRPr="3EE41C98">
              <w:rPr>
                <w:rFonts w:eastAsia="Times New Roman"/>
                <w:i/>
                <w:iCs/>
                <w:color w:val="000000" w:themeColor="text1"/>
              </w:rPr>
              <w:t>vajadusel korral</w:t>
            </w:r>
            <w:r w:rsidR="24A963EE" w:rsidRPr="3EE41C98">
              <w:rPr>
                <w:rFonts w:eastAsia="Times New Roman"/>
                <w:color w:val="000000" w:themeColor="text1"/>
              </w:rPr>
              <w:t xml:space="preserve"> kohalduva nõudega. </w:t>
            </w:r>
            <w:r w:rsidR="02130D77" w:rsidRPr="3EE41C98">
              <w:rPr>
                <w:rFonts w:eastAsia="Times New Roman"/>
                <w:color w:val="000000" w:themeColor="text1"/>
              </w:rPr>
              <w:t xml:space="preserve">Seetõttu on kehtiv sõnastus </w:t>
            </w:r>
            <w:r w:rsidR="02130D77" w:rsidRPr="3EE41C98">
              <w:rPr>
                <w:rFonts w:eastAsia="Times New Roman"/>
                <w:i/>
                <w:iCs/>
                <w:color w:val="000000" w:themeColor="text1"/>
              </w:rPr>
              <w:t>võimaluse korral</w:t>
            </w:r>
            <w:r w:rsidR="02130D77" w:rsidRPr="3EE41C98">
              <w:rPr>
                <w:rFonts w:eastAsia="Times New Roman"/>
                <w:color w:val="000000" w:themeColor="text1"/>
              </w:rPr>
              <w:t xml:space="preserve"> asendatud sõnastusega </w:t>
            </w:r>
            <w:r w:rsidR="02130D77" w:rsidRPr="3EE41C98">
              <w:rPr>
                <w:rFonts w:eastAsia="Times New Roman"/>
                <w:i/>
                <w:iCs/>
                <w:color w:val="000000" w:themeColor="text1"/>
              </w:rPr>
              <w:t>vajaduse korral</w:t>
            </w:r>
            <w:r w:rsidR="02130D77" w:rsidRPr="3EE41C98">
              <w:rPr>
                <w:rFonts w:eastAsia="Times New Roman"/>
                <w:color w:val="000000" w:themeColor="text1"/>
              </w:rPr>
              <w:t xml:space="preserve">. </w:t>
            </w:r>
            <w:r w:rsidR="74B75F8E" w:rsidRPr="3EE41C98">
              <w:rPr>
                <w:rFonts w:eastAsia="Times New Roman"/>
                <w:color w:val="000000" w:themeColor="text1"/>
              </w:rPr>
              <w:t>Teavet tuleb asjakohaselt kontrollida</w:t>
            </w:r>
            <w:r w:rsidR="05C68F3C" w:rsidRPr="3EE41C98">
              <w:rPr>
                <w:rFonts w:eastAsia="Times New Roman"/>
                <w:color w:val="000000" w:themeColor="text1"/>
              </w:rPr>
              <w:t>, s</w:t>
            </w:r>
            <w:r w:rsidR="74B75F8E" w:rsidRPr="3EE41C98">
              <w:rPr>
                <w:rFonts w:eastAsia="Times New Roman"/>
                <w:color w:val="000000" w:themeColor="text1"/>
              </w:rPr>
              <w:t>ee kontroll ei tohi olla pelgalt formaalne</w:t>
            </w:r>
            <w:r w:rsidR="29C1928C" w:rsidRPr="3EE41C98">
              <w:rPr>
                <w:rFonts w:eastAsia="Times New Roman"/>
                <w:color w:val="000000" w:themeColor="text1"/>
              </w:rPr>
              <w:t>, vaid vajadusel tuleb tugineda</w:t>
            </w:r>
            <w:r w:rsidR="4ED50533" w:rsidRPr="3EE41C98">
              <w:rPr>
                <w:rFonts w:eastAsia="Times New Roman"/>
                <w:color w:val="000000" w:themeColor="text1"/>
              </w:rPr>
              <w:t xml:space="preserve"> </w:t>
            </w:r>
            <w:r w:rsidR="6AD9E49A" w:rsidRPr="3EE41C98">
              <w:rPr>
                <w:rFonts w:eastAsia="Times New Roman"/>
                <w:color w:val="000000" w:themeColor="text1"/>
              </w:rPr>
              <w:t>iseseisvalt kontrollitavale teabele</w:t>
            </w:r>
            <w:r w:rsidR="27B55020" w:rsidRPr="3EE41C98">
              <w:rPr>
                <w:rFonts w:eastAsia="Times New Roman"/>
                <w:color w:val="000000" w:themeColor="text1"/>
              </w:rPr>
              <w:t>.</w:t>
            </w:r>
            <w:r w:rsidR="78E51848" w:rsidRPr="3EE41C98">
              <w:rPr>
                <w:rFonts w:eastAsia="Times New Roman"/>
                <w:color w:val="000000" w:themeColor="text1"/>
              </w:rPr>
              <w:t xml:space="preserve"> Seda on ka eel</w:t>
            </w:r>
            <w:r w:rsidR="62EE6A97" w:rsidRPr="3EE41C98">
              <w:rPr>
                <w:rFonts w:eastAsia="Times New Roman"/>
                <w:color w:val="000000" w:themeColor="text1"/>
              </w:rPr>
              <w:t>nõu selet</w:t>
            </w:r>
            <w:r w:rsidR="47126088" w:rsidRPr="3EE41C98">
              <w:rPr>
                <w:rFonts w:eastAsia="Times New Roman"/>
                <w:color w:val="000000" w:themeColor="text1"/>
              </w:rPr>
              <w:t xml:space="preserve">uskirjas </w:t>
            </w:r>
            <w:r w:rsidR="27647D10" w:rsidRPr="3EE41C98">
              <w:rPr>
                <w:rFonts w:eastAsia="Times New Roman"/>
                <w:color w:val="000000" w:themeColor="text1"/>
              </w:rPr>
              <w:t xml:space="preserve">täiendavalt </w:t>
            </w:r>
            <w:r w:rsidR="47126088" w:rsidRPr="3EE41C98">
              <w:rPr>
                <w:rFonts w:eastAsia="Times New Roman"/>
                <w:color w:val="000000" w:themeColor="text1"/>
              </w:rPr>
              <w:t>selgitatud</w:t>
            </w:r>
            <w:r w:rsidR="24F3E541" w:rsidRPr="3EE41C98">
              <w:rPr>
                <w:rFonts w:eastAsia="Times New Roman"/>
                <w:color w:val="000000" w:themeColor="text1"/>
              </w:rPr>
              <w:t xml:space="preserve">, mh on rõhutatud seda, et kontroll ei tohi olla formaalne. </w:t>
            </w:r>
          </w:p>
        </w:tc>
      </w:tr>
      <w:tr w:rsidR="00D22FD2" w14:paraId="63548EE9" w14:textId="77777777" w:rsidTr="00617FBE">
        <w:tc>
          <w:tcPr>
            <w:tcW w:w="576" w:type="dxa"/>
          </w:tcPr>
          <w:p w14:paraId="4D65297D" w14:textId="37CAF18C" w:rsidR="000179B5" w:rsidRDefault="000179B5" w:rsidP="000179B5">
            <w:pPr>
              <w:jc w:val="center"/>
            </w:pPr>
            <w:r w:rsidRPr="00C7376A">
              <w:lastRenderedPageBreak/>
              <w:t>1</w:t>
            </w:r>
            <w:r w:rsidR="00056A10">
              <w:t>6</w:t>
            </w:r>
          </w:p>
        </w:tc>
        <w:tc>
          <w:tcPr>
            <w:tcW w:w="5040" w:type="dxa"/>
          </w:tcPr>
          <w:p w14:paraId="23466F72" w14:textId="77777777" w:rsidR="000179B5" w:rsidRPr="00C7376A" w:rsidRDefault="000179B5" w:rsidP="000179B5">
            <w:pPr>
              <w:ind w:left="10" w:right="-5"/>
              <w:rPr>
                <w:rFonts w:eastAsia="Arial"/>
                <w:lang w:eastAsia="et-EE"/>
              </w:rPr>
            </w:pPr>
            <w:r w:rsidRPr="00C7376A">
              <w:rPr>
                <w:rFonts w:eastAsia="Arial"/>
                <w:lang w:eastAsia="et-EE"/>
              </w:rPr>
              <w:t xml:space="preserve">Finantsinspektsioon juhib tähelepanu, et Riigikogu menetluses on krediiditeabe jagamise seadus, milles nähakse mh ette KAVS muudatus, kus </w:t>
            </w:r>
            <w:proofErr w:type="spellStart"/>
            <w:r w:rsidRPr="00C7376A">
              <w:rPr>
                <w:rFonts w:eastAsia="Arial"/>
                <w:lang w:eastAsia="et-EE"/>
              </w:rPr>
              <w:t>KAVS-i</w:t>
            </w:r>
            <w:proofErr w:type="spellEnd"/>
            <w:r w:rsidRPr="00C7376A">
              <w:rPr>
                <w:rFonts w:eastAsia="Arial"/>
                <w:lang w:eastAsia="et-EE"/>
              </w:rPr>
              <w:t xml:space="preserve"> täiendatakse §-ga 50</w:t>
            </w:r>
            <w:r w:rsidRPr="00C7376A">
              <w:rPr>
                <w:rFonts w:eastAsia="Arial"/>
                <w:vertAlign w:val="superscript"/>
                <w:lang w:eastAsia="et-EE"/>
              </w:rPr>
              <w:t>2</w:t>
            </w:r>
            <w:r w:rsidRPr="00C7376A">
              <w:rPr>
                <w:rFonts w:eastAsia="Arial"/>
                <w:lang w:eastAsia="et-EE"/>
              </w:rPr>
              <w:t xml:space="preserve">.  </w:t>
            </w:r>
          </w:p>
          <w:p w14:paraId="3CF583FE" w14:textId="77777777" w:rsidR="000179B5" w:rsidRDefault="000179B5" w:rsidP="000179B5"/>
        </w:tc>
        <w:tc>
          <w:tcPr>
            <w:tcW w:w="5016" w:type="dxa"/>
          </w:tcPr>
          <w:p w14:paraId="70630D58" w14:textId="3A6CD70D" w:rsidR="000179B5" w:rsidRDefault="5B253927" w:rsidP="651EE11F">
            <w:r w:rsidRPr="651EE11F">
              <w:rPr>
                <w:b/>
              </w:rPr>
              <w:t>Selgitatud</w:t>
            </w:r>
            <w:r>
              <w:t>.</w:t>
            </w:r>
          </w:p>
          <w:p w14:paraId="31D56A1C" w14:textId="0CA9184D" w:rsidR="00201286" w:rsidRDefault="5B253927" w:rsidP="007661C3">
            <w:r>
              <w:t>S</w:t>
            </w:r>
            <w:r w:rsidR="00590744">
              <w:t>õltuvalt sellest, millist eelnõud Riigikogus kiiremini menetletakse, saab teha ka vastavad korrektuurid §-de numeratsiooni osas. Hetkel tuleb aga antud juhul toetuda kehtiva regulatsiooni §-dele (s.t. ei saa arvestada menetluses olevat teist eelnõud).</w:t>
            </w:r>
          </w:p>
        </w:tc>
      </w:tr>
      <w:tr w:rsidR="00D22FD2" w14:paraId="16E98C94" w14:textId="77777777" w:rsidTr="00617FBE">
        <w:tc>
          <w:tcPr>
            <w:tcW w:w="576" w:type="dxa"/>
          </w:tcPr>
          <w:p w14:paraId="3DFB5936" w14:textId="6BEBF02E" w:rsidR="000179B5" w:rsidRDefault="000179B5" w:rsidP="000179B5">
            <w:pPr>
              <w:jc w:val="center"/>
            </w:pPr>
            <w:r w:rsidRPr="00C7376A">
              <w:t>1</w:t>
            </w:r>
            <w:r w:rsidR="00056A10">
              <w:t>7</w:t>
            </w:r>
          </w:p>
        </w:tc>
        <w:tc>
          <w:tcPr>
            <w:tcW w:w="5040" w:type="dxa"/>
          </w:tcPr>
          <w:p w14:paraId="1D9DC10A" w14:textId="77777777" w:rsidR="000179B5" w:rsidRPr="00C7376A" w:rsidRDefault="000179B5" w:rsidP="000179B5">
            <w:pPr>
              <w:ind w:right="-5"/>
              <w:rPr>
                <w:rFonts w:eastAsia="Arial"/>
                <w:lang w:eastAsia="et-EE"/>
              </w:rPr>
            </w:pPr>
            <w:r w:rsidRPr="00C7376A">
              <w:rPr>
                <w:rFonts w:eastAsia="Arial"/>
                <w:lang w:eastAsia="et-EE"/>
              </w:rPr>
              <w:t>Kavandatava KAVS § 50</w:t>
            </w:r>
            <w:r w:rsidRPr="00C7376A">
              <w:rPr>
                <w:rFonts w:eastAsia="Arial"/>
                <w:vertAlign w:val="superscript"/>
                <w:lang w:eastAsia="et-EE"/>
              </w:rPr>
              <w:t>3</w:t>
            </w:r>
            <w:r w:rsidRPr="00C7376A">
              <w:rPr>
                <w:rFonts w:eastAsia="Arial"/>
                <w:lang w:eastAsia="et-EE"/>
              </w:rPr>
              <w:t xml:space="preserve"> lõike 2 kohaselt ei kohaldata KAVS §-s 50</w:t>
            </w:r>
            <w:r w:rsidRPr="00C7376A">
              <w:rPr>
                <w:rFonts w:eastAsia="Arial"/>
                <w:vertAlign w:val="superscript"/>
                <w:lang w:eastAsia="et-EE"/>
              </w:rPr>
              <w:t>3</w:t>
            </w:r>
            <w:r w:rsidRPr="00C7376A">
              <w:rPr>
                <w:rFonts w:eastAsia="Arial"/>
                <w:lang w:eastAsia="et-EE"/>
              </w:rPr>
              <w:t xml:space="preserve"> sätestatut elamukinnisvaraga seotud tarbijakrediidilepingute suhtes. Finantsinspektsioon märgib, et eelnõus </w:t>
            </w:r>
            <w:r w:rsidRPr="00C7376A">
              <w:rPr>
                <w:rFonts w:eastAsia="Arial"/>
                <w:lang w:eastAsia="et-EE"/>
              </w:rPr>
              <w:lastRenderedPageBreak/>
              <w:t xml:space="preserve">toodud selgitused erandi kehtestamise kohta ei ole veenvad.  </w:t>
            </w:r>
          </w:p>
          <w:p w14:paraId="48035474" w14:textId="77777777" w:rsidR="000179B5" w:rsidRPr="00C7376A" w:rsidRDefault="000179B5" w:rsidP="000179B5">
            <w:pPr>
              <w:rPr>
                <w:rFonts w:eastAsia="Arial"/>
                <w:lang w:eastAsia="et-EE"/>
              </w:rPr>
            </w:pPr>
            <w:r w:rsidRPr="00C7376A">
              <w:rPr>
                <w:rFonts w:eastAsia="Arial"/>
                <w:lang w:eastAsia="et-EE"/>
              </w:rPr>
              <w:t xml:space="preserve"> </w:t>
            </w:r>
          </w:p>
          <w:p w14:paraId="42CBCC58" w14:textId="77777777" w:rsidR="000179B5" w:rsidRPr="00C7376A" w:rsidRDefault="000179B5" w:rsidP="000179B5">
            <w:pPr>
              <w:ind w:left="-5" w:hanging="10"/>
              <w:rPr>
                <w:rFonts w:eastAsia="Arial"/>
                <w:lang w:eastAsia="et-EE"/>
              </w:rPr>
            </w:pPr>
            <w:r w:rsidRPr="00C7376A">
              <w:rPr>
                <w:rFonts w:eastAsia="Arial"/>
                <w:lang w:eastAsia="et-EE"/>
              </w:rPr>
              <w:t xml:space="preserve">Eelnõu seletuskirjas on toodud põhjendus, et elamukinnisvaraga seotud krediidilepingute puhul võib välisriigis asuv kinnisasi kujutada krediidiandjale suuremat riski ja seetõttu ei laiendata sätet elamukinnisvaraga seotud krediidilepingutele. Kinnisasja asukoht on objektiivne riskitegur, mida krediidiandja peab arvestama, kuid see ei ole samastatav tarbija kodakondsuse või elukohaga kui isikupõhise tunnusega, mille alusel ei tohi diskrimineerida. Tuleb eristada (i) objektiivseid krediidiriski mõjutavaid asjaolusid ja (ii) tarbija isikuga seotud tunnuseid.  </w:t>
            </w:r>
          </w:p>
          <w:p w14:paraId="1F6B1C85" w14:textId="77777777" w:rsidR="000179B5" w:rsidRPr="00C7376A" w:rsidRDefault="000179B5" w:rsidP="000179B5">
            <w:pPr>
              <w:rPr>
                <w:rFonts w:eastAsia="Arial"/>
                <w:lang w:eastAsia="et-EE"/>
              </w:rPr>
            </w:pPr>
            <w:r w:rsidRPr="00C7376A">
              <w:rPr>
                <w:rFonts w:eastAsia="Arial"/>
                <w:lang w:eastAsia="et-EE"/>
              </w:rPr>
              <w:t xml:space="preserve"> </w:t>
            </w:r>
          </w:p>
          <w:p w14:paraId="6B31D7E8" w14:textId="77777777" w:rsidR="000179B5" w:rsidRPr="00C7376A" w:rsidRDefault="000179B5" w:rsidP="000179B5">
            <w:pPr>
              <w:ind w:left="-5" w:right="-14" w:hanging="10"/>
              <w:rPr>
                <w:rFonts w:eastAsia="Arial"/>
                <w:lang w:eastAsia="et-EE"/>
              </w:rPr>
            </w:pPr>
            <w:r w:rsidRPr="00C7376A">
              <w:rPr>
                <w:rFonts w:eastAsia="Arial"/>
                <w:lang w:eastAsia="et-EE"/>
              </w:rPr>
              <w:t xml:space="preserve">Tootearendus ja riskiprofiili määramine ei ole automaatselt diskrimineerimine. Tagatiseks oleva kinnisasja asukoht on riskitegur, mitte tarbija isikuline tunnus. Seega krediidiandja võib oma krediidipoliitikas ette näha, et ta ei aktsepteeri tagatisena teises riigis asuvat kinnisvara või aktsepteerib seda üksnes täiendavate tingimuste täitmisel (nt suurem omafinantseering, täiendav tagatis </w:t>
            </w:r>
            <w:r w:rsidRPr="00C7376A">
              <w:rPr>
                <w:rFonts w:eastAsia="Arial"/>
                <w:lang w:eastAsia="et-EE"/>
              </w:rPr>
              <w:tab/>
              <w:t xml:space="preserve">vms). </w:t>
            </w:r>
            <w:r w:rsidRPr="00C7376A">
              <w:rPr>
                <w:rFonts w:eastAsia="Arial"/>
                <w:lang w:eastAsia="et-EE"/>
              </w:rPr>
              <w:tab/>
              <w:t xml:space="preserve">Selline </w:t>
            </w:r>
            <w:r w:rsidRPr="00C7376A">
              <w:rPr>
                <w:rFonts w:eastAsia="Arial"/>
                <w:lang w:eastAsia="et-EE"/>
              </w:rPr>
              <w:tab/>
              <w:t xml:space="preserve">piirang </w:t>
            </w:r>
            <w:r w:rsidRPr="00C7376A">
              <w:rPr>
                <w:rFonts w:eastAsia="Arial"/>
                <w:lang w:eastAsia="et-EE"/>
              </w:rPr>
              <w:tab/>
              <w:t xml:space="preserve">põhineb </w:t>
            </w:r>
            <w:r w:rsidRPr="00C7376A">
              <w:rPr>
                <w:rFonts w:eastAsia="Arial"/>
                <w:lang w:eastAsia="et-EE"/>
              </w:rPr>
              <w:tab/>
              <w:t xml:space="preserve">tagatise </w:t>
            </w:r>
            <w:r w:rsidRPr="00C7376A">
              <w:rPr>
                <w:rFonts w:eastAsia="Arial"/>
                <w:lang w:eastAsia="et-EE"/>
              </w:rPr>
              <w:tab/>
              <w:t xml:space="preserve">õiguslikul </w:t>
            </w:r>
            <w:r w:rsidRPr="00C7376A">
              <w:rPr>
                <w:rFonts w:eastAsia="Arial"/>
                <w:lang w:eastAsia="et-EE"/>
              </w:rPr>
              <w:tab/>
              <w:t xml:space="preserve">ja </w:t>
            </w:r>
            <w:r w:rsidRPr="00C7376A">
              <w:rPr>
                <w:rFonts w:eastAsia="Arial"/>
                <w:lang w:eastAsia="et-EE"/>
              </w:rPr>
              <w:tab/>
              <w:t xml:space="preserve">majanduslikul </w:t>
            </w:r>
            <w:r w:rsidRPr="00C7376A">
              <w:rPr>
                <w:rFonts w:eastAsia="Arial"/>
                <w:lang w:eastAsia="et-EE"/>
              </w:rPr>
              <w:tab/>
              <w:t xml:space="preserve">riskil </w:t>
            </w:r>
            <w:r w:rsidRPr="00C7376A">
              <w:rPr>
                <w:rFonts w:eastAsia="Arial"/>
                <w:lang w:eastAsia="et-EE"/>
              </w:rPr>
              <w:tab/>
              <w:t xml:space="preserve">(nt realiseerimisraskused, täitemenetluse erisused), mitte tarbija kodakondsusel või elukohal. Ühtlasi ei ole krediidiandjal kohustust pakkuda oma toodet kogu Euroopa Liidu turul ja tal on lubatud piirata enda tegevust ainult Eesti residentidega.   </w:t>
            </w:r>
          </w:p>
          <w:p w14:paraId="7234C4F5" w14:textId="77777777" w:rsidR="000179B5" w:rsidRPr="00C7376A" w:rsidRDefault="000179B5" w:rsidP="000179B5">
            <w:pPr>
              <w:rPr>
                <w:rFonts w:eastAsia="Arial"/>
                <w:lang w:eastAsia="et-EE"/>
              </w:rPr>
            </w:pPr>
            <w:r w:rsidRPr="00C7376A">
              <w:rPr>
                <w:rFonts w:eastAsia="Arial"/>
                <w:lang w:eastAsia="et-EE"/>
              </w:rPr>
              <w:t xml:space="preserve"> </w:t>
            </w:r>
          </w:p>
          <w:p w14:paraId="6D74D793" w14:textId="77777777" w:rsidR="000179B5" w:rsidRPr="00C7376A" w:rsidRDefault="000179B5" w:rsidP="000179B5">
            <w:pPr>
              <w:ind w:left="-5" w:hanging="10"/>
              <w:rPr>
                <w:rFonts w:eastAsia="Arial"/>
                <w:lang w:eastAsia="et-EE"/>
              </w:rPr>
            </w:pPr>
            <w:r w:rsidRPr="00C7376A">
              <w:rPr>
                <w:rFonts w:eastAsia="Arial"/>
                <w:lang w:eastAsia="et-EE"/>
              </w:rPr>
              <w:t xml:space="preserve">Lisaks, kui üldine põhiõiguslik kaitse kehtib niikuinii, siis erandi sätestamine eriseaduses ei ole sisuliselt vajalik. Vastupidi, see võib tekitada eksitava mulje, et seadusandja on teadlikult otsustanud elamukinnisvaraga seotud krediidilepingud madalama kaitsetasemega jätta. </w:t>
            </w:r>
          </w:p>
          <w:p w14:paraId="367F03E3" w14:textId="77777777" w:rsidR="000179B5" w:rsidRPr="00C7376A" w:rsidRDefault="000179B5" w:rsidP="000179B5">
            <w:pPr>
              <w:rPr>
                <w:rFonts w:eastAsia="Arial"/>
                <w:lang w:eastAsia="et-EE"/>
              </w:rPr>
            </w:pPr>
            <w:r w:rsidRPr="00C7376A">
              <w:rPr>
                <w:rFonts w:eastAsia="Arial"/>
                <w:lang w:eastAsia="et-EE"/>
              </w:rPr>
              <w:t xml:space="preserve"> </w:t>
            </w:r>
          </w:p>
          <w:p w14:paraId="6E9A3AEA" w14:textId="41C4DB14" w:rsidR="000179B5" w:rsidRDefault="000179B5" w:rsidP="000179B5">
            <w:r w:rsidRPr="00C7376A">
              <w:rPr>
                <w:rFonts w:eastAsia="Arial"/>
                <w:lang w:eastAsia="et-EE"/>
              </w:rPr>
              <w:t xml:space="preserve">Finantsinspektsioon palub seega kaaluda eelnõu seletuskirjas toodud põhjenduste täiendamist erandi kehtestamise vajaduse kohta või erandi kehtestamisest loobumist.  </w:t>
            </w:r>
          </w:p>
        </w:tc>
        <w:tc>
          <w:tcPr>
            <w:tcW w:w="5016" w:type="dxa"/>
          </w:tcPr>
          <w:p w14:paraId="385F0368" w14:textId="74807699" w:rsidR="6FF6C2EE" w:rsidRDefault="6CA5D364">
            <w:pPr>
              <w:rPr>
                <w:b/>
              </w:rPr>
            </w:pPr>
            <w:r w:rsidRPr="77283A5A">
              <w:rPr>
                <w:b/>
              </w:rPr>
              <w:lastRenderedPageBreak/>
              <w:t xml:space="preserve">Arvestatud / Selgitatud. </w:t>
            </w:r>
          </w:p>
          <w:p w14:paraId="2484FB59" w14:textId="52195DE6" w:rsidR="6CA5D364" w:rsidRDefault="6CA5D364" w:rsidP="5E10CACA">
            <w:pPr>
              <w:rPr>
                <w:rFonts w:eastAsia="Arial"/>
                <w:lang w:eastAsia="et-EE"/>
              </w:rPr>
            </w:pPr>
            <w:r w:rsidRPr="55786828">
              <w:rPr>
                <w:rFonts w:eastAsia="Arial"/>
                <w:lang w:eastAsia="et-EE"/>
              </w:rPr>
              <w:t>Eelnõukohase KAVS § 50</w:t>
            </w:r>
            <w:r w:rsidRPr="55786828">
              <w:rPr>
                <w:rFonts w:eastAsia="Arial"/>
                <w:vertAlign w:val="superscript"/>
                <w:lang w:eastAsia="et-EE"/>
              </w:rPr>
              <w:t>3</w:t>
            </w:r>
            <w:r w:rsidRPr="55786828">
              <w:rPr>
                <w:rFonts w:eastAsia="Arial"/>
                <w:lang w:eastAsia="et-EE"/>
              </w:rPr>
              <w:t xml:space="preserve"> seletuskirja on võrreldes esialgse versiooniga oluliselt täiendatud, mh on </w:t>
            </w:r>
            <w:r w:rsidRPr="15E95A94">
              <w:rPr>
                <w:rFonts w:eastAsia="Arial"/>
                <w:lang w:eastAsia="et-EE"/>
              </w:rPr>
              <w:t>tä</w:t>
            </w:r>
            <w:r w:rsidR="6BF3C2E2" w:rsidRPr="15E95A94">
              <w:rPr>
                <w:rFonts w:eastAsia="Arial"/>
                <w:lang w:eastAsia="et-EE"/>
              </w:rPr>
              <w:t>psust</w:t>
            </w:r>
            <w:r w:rsidRPr="15E95A94">
              <w:rPr>
                <w:rFonts w:eastAsia="Arial"/>
                <w:lang w:eastAsia="et-EE"/>
              </w:rPr>
              <w:t>atud</w:t>
            </w:r>
            <w:r w:rsidRPr="01482563">
              <w:rPr>
                <w:rFonts w:eastAsia="Arial"/>
                <w:lang w:eastAsia="et-EE"/>
              </w:rPr>
              <w:t xml:space="preserve"> lõikes 2 sätestatud erandi </w:t>
            </w:r>
            <w:r w:rsidRPr="3A7B0DFD">
              <w:rPr>
                <w:rFonts w:eastAsia="Arial"/>
                <w:lang w:eastAsia="et-EE"/>
              </w:rPr>
              <w:lastRenderedPageBreak/>
              <w:t>keht</w:t>
            </w:r>
            <w:r w:rsidR="18C928F2" w:rsidRPr="3A7B0DFD">
              <w:rPr>
                <w:rFonts w:eastAsia="Arial"/>
                <w:lang w:eastAsia="et-EE"/>
              </w:rPr>
              <w:t>est</w:t>
            </w:r>
            <w:r w:rsidRPr="3A7B0DFD">
              <w:rPr>
                <w:rFonts w:eastAsia="Arial"/>
                <w:lang w:eastAsia="et-EE"/>
              </w:rPr>
              <w:t xml:space="preserve">amise </w:t>
            </w:r>
            <w:r w:rsidR="26A88B9F" w:rsidRPr="3A7B0DFD">
              <w:rPr>
                <w:rFonts w:eastAsia="Arial"/>
                <w:lang w:eastAsia="et-EE"/>
              </w:rPr>
              <w:t xml:space="preserve">osa. </w:t>
            </w:r>
            <w:r w:rsidR="26A88B9F" w:rsidRPr="158E6EB4">
              <w:rPr>
                <w:rFonts w:eastAsia="Arial"/>
                <w:lang w:eastAsia="et-EE"/>
              </w:rPr>
              <w:t xml:space="preserve">Samuti on </w:t>
            </w:r>
            <w:r w:rsidR="26A88B9F" w:rsidRPr="08654486">
              <w:rPr>
                <w:rFonts w:eastAsia="Arial"/>
                <w:lang w:eastAsia="et-EE"/>
              </w:rPr>
              <w:t xml:space="preserve">lõike 1 selgituste juures </w:t>
            </w:r>
            <w:r w:rsidR="26A88B9F" w:rsidRPr="158E6EB4">
              <w:rPr>
                <w:rFonts w:eastAsia="Arial"/>
                <w:lang w:eastAsia="et-EE"/>
              </w:rPr>
              <w:t>üldiselt välja toodud</w:t>
            </w:r>
            <w:r w:rsidR="26A88B9F" w:rsidRPr="08654486">
              <w:rPr>
                <w:rFonts w:eastAsia="Arial"/>
                <w:lang w:eastAsia="et-EE"/>
              </w:rPr>
              <w:t xml:space="preserve">, et </w:t>
            </w:r>
            <w:r w:rsidR="26A88B9F" w:rsidRPr="75E9AAE2">
              <w:rPr>
                <w:rFonts w:eastAsia="Arial"/>
                <w:lang w:eastAsia="et-EE"/>
              </w:rPr>
              <w:t>tootearendus ja riskiprofiili määramine ei ole automaatselt diskrimineerimine.</w:t>
            </w:r>
          </w:p>
          <w:p w14:paraId="7335E944" w14:textId="1D312329" w:rsidR="01482563" w:rsidRDefault="01482563" w:rsidP="01482563">
            <w:pPr>
              <w:rPr>
                <w:rFonts w:eastAsia="Arial"/>
                <w:lang w:eastAsia="et-EE"/>
              </w:rPr>
            </w:pPr>
          </w:p>
          <w:p w14:paraId="4AE7EBA1" w14:textId="28C3A879" w:rsidR="01482563" w:rsidRDefault="01482563" w:rsidP="01482563">
            <w:pPr>
              <w:rPr>
                <w:rFonts w:eastAsia="Arial"/>
                <w:lang w:eastAsia="et-EE"/>
              </w:rPr>
            </w:pPr>
          </w:p>
          <w:p w14:paraId="579490A5" w14:textId="42DA1B9E" w:rsidR="000179B5" w:rsidRDefault="000179B5" w:rsidP="651EE11F">
            <w:pPr>
              <w:rPr>
                <w:rFonts w:eastAsia="Arial"/>
                <w:lang w:eastAsia="et-EE"/>
              </w:rPr>
            </w:pPr>
          </w:p>
          <w:p w14:paraId="2DD31C18" w14:textId="00E1E6F6" w:rsidR="001F605B" w:rsidRDefault="001F605B" w:rsidP="651EE11F"/>
        </w:tc>
      </w:tr>
      <w:tr w:rsidR="00D22FD2" w14:paraId="1E7061E4" w14:textId="77777777" w:rsidTr="00617FBE">
        <w:tc>
          <w:tcPr>
            <w:tcW w:w="576" w:type="dxa"/>
          </w:tcPr>
          <w:p w14:paraId="18C2C4A9" w14:textId="61D3A533" w:rsidR="000179B5" w:rsidRDefault="000179B5" w:rsidP="000179B5">
            <w:pPr>
              <w:jc w:val="center"/>
            </w:pPr>
            <w:r w:rsidRPr="00C7376A">
              <w:lastRenderedPageBreak/>
              <w:t>1</w:t>
            </w:r>
            <w:r w:rsidR="00056A10">
              <w:t>8</w:t>
            </w:r>
          </w:p>
        </w:tc>
        <w:tc>
          <w:tcPr>
            <w:tcW w:w="5040" w:type="dxa"/>
          </w:tcPr>
          <w:p w14:paraId="539F4F28" w14:textId="77777777" w:rsidR="000179B5" w:rsidRPr="00C7376A" w:rsidRDefault="000179B5" w:rsidP="000179B5">
            <w:r w:rsidRPr="00C7376A">
              <w:t xml:space="preserve">Eelnõu § 4 punkti 18 kohaselt muudetakse KAVS § 51 lõiget 1 selliselt, et krediidiandja või vahendaja peab tarbijat teavitama seoses tarbijakrediidi andmise või krediidi </w:t>
            </w:r>
            <w:r w:rsidRPr="00C7376A">
              <w:lastRenderedPageBreak/>
              <w:t xml:space="preserve">vahendamisega, kas talle osutatakse või saab osutada nõustamisteenust.  </w:t>
            </w:r>
          </w:p>
          <w:p w14:paraId="21AC823B" w14:textId="77777777" w:rsidR="000179B5" w:rsidRPr="00C7376A" w:rsidRDefault="000179B5" w:rsidP="000179B5">
            <w:r w:rsidRPr="00C7376A">
              <w:t xml:space="preserve"> </w:t>
            </w:r>
          </w:p>
          <w:p w14:paraId="720CDCF5" w14:textId="77777777" w:rsidR="000179B5" w:rsidRPr="00C7376A" w:rsidRDefault="000179B5" w:rsidP="000179B5">
            <w:pPr>
              <w:ind w:left="-5" w:right="-10"/>
            </w:pPr>
            <w:r w:rsidRPr="00C7376A">
              <w:rPr>
                <w:rFonts w:eastAsia="Arial"/>
              </w:rPr>
              <w:t>Eelnõu seletuskirjas on sama sätte kohta toodud järgnev: „</w:t>
            </w:r>
            <w:r w:rsidRPr="00C7376A">
              <w:rPr>
                <w:rFonts w:eastAsia="Arial"/>
                <w:i/>
              </w:rPr>
              <w:t>Tulenevalt uue tarbijakrediidi direktiivi artikli 16 lõikest 1 ei ole nõustamisteenuse osutamine edaspidi kohustuslik üksnes hüpoteekkrediidiandjale ja -vahendajale, vaid ka muude tarbijakrediitide andjatele ja vahendajatele.</w:t>
            </w:r>
            <w:r w:rsidRPr="00C7376A">
              <w:rPr>
                <w:rFonts w:eastAsia="Arial"/>
              </w:rPr>
              <w:t>“</w:t>
            </w:r>
            <w:r w:rsidRPr="00C7376A">
              <w:t xml:space="preserve"> </w:t>
            </w:r>
          </w:p>
          <w:p w14:paraId="7285A6CD" w14:textId="77777777" w:rsidR="000179B5" w:rsidRPr="00C7376A" w:rsidRDefault="000179B5" w:rsidP="000179B5">
            <w:r w:rsidRPr="00C7376A">
              <w:t xml:space="preserve"> </w:t>
            </w:r>
          </w:p>
          <w:p w14:paraId="0C5CF3CC" w14:textId="77777777" w:rsidR="000179B5" w:rsidRPr="00C7376A" w:rsidRDefault="000179B5" w:rsidP="000179B5">
            <w:pPr>
              <w:ind w:left="10" w:right="-5"/>
            </w:pPr>
            <w:r w:rsidRPr="00C7376A">
              <w:t xml:space="preserve">Finantsinspektsioon juhib tähelepanu, et CCDII ja hüpoteekkrediidi direktiiv ühtlustatakse nõustamisteenuse osutamise osas, kuid CCDII ei kohusta ühtegi krediidiandjat nõustamisteenust osutama. Finantsinspektsioon palub seletuskirjas toodu parandada.  </w:t>
            </w:r>
          </w:p>
          <w:p w14:paraId="02FF5865" w14:textId="77777777" w:rsidR="000179B5" w:rsidRDefault="000179B5" w:rsidP="000179B5"/>
        </w:tc>
        <w:tc>
          <w:tcPr>
            <w:tcW w:w="5016" w:type="dxa"/>
          </w:tcPr>
          <w:p w14:paraId="3D6E1824" w14:textId="603DE13E" w:rsidR="000179B5" w:rsidRDefault="053A4F11" w:rsidP="4C959655">
            <w:r w:rsidRPr="4C959655">
              <w:rPr>
                <w:b/>
                <w:bCs/>
              </w:rPr>
              <w:lastRenderedPageBreak/>
              <w:t>A</w:t>
            </w:r>
            <w:r w:rsidR="000179B5" w:rsidRPr="4C959655">
              <w:rPr>
                <w:b/>
                <w:bCs/>
              </w:rPr>
              <w:t>rvestatud</w:t>
            </w:r>
            <w:r w:rsidR="000179B5">
              <w:t xml:space="preserve">. </w:t>
            </w:r>
          </w:p>
          <w:p w14:paraId="18EEDBBB" w14:textId="111E0661" w:rsidR="000179B5" w:rsidRDefault="000179B5" w:rsidP="4C959655">
            <w:r w:rsidRPr="00C7376A">
              <w:t xml:space="preserve">Seletuskirjas </w:t>
            </w:r>
            <w:r w:rsidR="76FC52EF">
              <w:t>on</w:t>
            </w:r>
            <w:r>
              <w:t xml:space="preserve"> </w:t>
            </w:r>
            <w:r w:rsidR="13711D7D">
              <w:t>selgitust</w:t>
            </w:r>
            <w:r w:rsidRPr="00C7376A">
              <w:t xml:space="preserve"> vastavalt täiendatud.</w:t>
            </w:r>
            <w:r w:rsidR="314A68D9">
              <w:t xml:space="preserve"> </w:t>
            </w:r>
          </w:p>
        </w:tc>
      </w:tr>
      <w:tr w:rsidR="006E58EF" w14:paraId="24584F2F" w14:textId="77777777" w:rsidTr="00617FBE">
        <w:tc>
          <w:tcPr>
            <w:tcW w:w="10632" w:type="dxa"/>
            <w:gridSpan w:val="3"/>
          </w:tcPr>
          <w:p w14:paraId="4BB97207" w14:textId="1FA47A9C" w:rsidR="00187BC5" w:rsidRPr="00187BC5" w:rsidRDefault="00187BC5" w:rsidP="4C959655">
            <w:r w:rsidRPr="00187BC5">
              <w:t>Eelnõu mõjuhinnang</w:t>
            </w:r>
          </w:p>
        </w:tc>
      </w:tr>
      <w:tr w:rsidR="00D22FD2" w14:paraId="15E4D15C" w14:textId="77777777" w:rsidTr="00617FBE">
        <w:tc>
          <w:tcPr>
            <w:tcW w:w="576" w:type="dxa"/>
          </w:tcPr>
          <w:p w14:paraId="7B8D3CAE" w14:textId="2C4EA07F" w:rsidR="000179B5" w:rsidRDefault="00056A10" w:rsidP="000179B5">
            <w:pPr>
              <w:jc w:val="center"/>
            </w:pPr>
            <w:r>
              <w:t>19</w:t>
            </w:r>
          </w:p>
        </w:tc>
        <w:tc>
          <w:tcPr>
            <w:tcW w:w="5040" w:type="dxa"/>
          </w:tcPr>
          <w:p w14:paraId="644CC83F" w14:textId="63FAD2A5" w:rsidR="00BF07C1" w:rsidRPr="00251687" w:rsidRDefault="00BF07C1" w:rsidP="00BF07C1">
            <w:r w:rsidRPr="00251687">
              <w:t>Eelnõu seletuskirja peatükk 6 (seaduse mõjud) alapunkt 2.2. kohaselt: „Eesti tarbijakrediidi turu hinnanguline maht 250 miljonit eurot. Hetkel kehtivate lepingute arv on arvatavasti tuhandetes, võimalik, et kümnetes tuhandetes.“</w:t>
            </w:r>
          </w:p>
          <w:p w14:paraId="7B6D369D" w14:textId="09D6A7E7" w:rsidR="00BF07C1" w:rsidRPr="00251687" w:rsidRDefault="00BF07C1" w:rsidP="00BF07C1">
            <w:r w:rsidRPr="00251687">
              <w:t xml:space="preserve">Finantsinspektsioon märgib, et eelnõus toodud informatsioon on eksitav. Eelnõuga planeeritavad muudatused mõjutavad kogu tarbijakrediiditurgu, sh elamukinnisvaraga seotud krediiditurgu, mistõttu ei ole asjakohane viidata üksnes väga väikesele osale tarbijakrediiditurust. Tarbijakrediiti väljastavad nii krediidiasutused, krediidiandjad, kui ka erandi alusel tegutsevad krediidiandjad ehk pankadega seotud krediidiandjad (KAVS § 2 lõige 8). </w:t>
            </w:r>
          </w:p>
          <w:p w14:paraId="745DDB4B" w14:textId="0F6BEFAD" w:rsidR="000179B5" w:rsidRDefault="00BF07C1" w:rsidP="000179B5">
            <w:pPr>
              <w:rPr>
                <w:highlight w:val="cyan"/>
              </w:rPr>
            </w:pPr>
            <w:r w:rsidRPr="00251687">
              <w:t>Krediidiandjate, sh KAVS § 2 lõikes 8 nimetatud krediidiandjate tarbijakrediidi jääk oli 2025. aasta juuni lõpus 1,5 miljardit eurot. Suurem osa ehk 1,2 miljardit eurot krediidiandjate eraisikute laenude jäägist kuulus pankadega seotud krediidiandjatele (KAVS § 2 lõige 8), pangaväliste krediidiandjate laenuportfell oli 295 miljonit eurot. Sellele lisandub krediidiasutuste tarbimislaenude jääk, mis oli sama aja seisuga 15,4 miljardit eurot, millest eluasemelaenude jääk oli 12,5 miljardit eurot.</w:t>
            </w:r>
          </w:p>
        </w:tc>
        <w:tc>
          <w:tcPr>
            <w:tcW w:w="5016" w:type="dxa"/>
          </w:tcPr>
          <w:p w14:paraId="01AE3AE5" w14:textId="141623DC" w:rsidR="0031797E" w:rsidRPr="00FF788C" w:rsidRDefault="00FF788C" w:rsidP="00044B7A">
            <w:pPr>
              <w:rPr>
                <w:b/>
                <w:bCs/>
              </w:rPr>
            </w:pPr>
            <w:r w:rsidRPr="00FF788C">
              <w:rPr>
                <w:b/>
                <w:bCs/>
              </w:rPr>
              <w:t>Arvestatud.</w:t>
            </w:r>
          </w:p>
          <w:p w14:paraId="4FB2B55F" w14:textId="456CE687" w:rsidR="00FF788C" w:rsidRDefault="007360B2" w:rsidP="00044B7A">
            <w:r>
              <w:t xml:space="preserve">Mõjuhinnangu alapunkti 2.2. eesmärk on anda ülevaade </w:t>
            </w:r>
            <w:r w:rsidR="008512A0">
              <w:t>lisakuludeta järelmaksu (BNPL) krediiditoodete klien</w:t>
            </w:r>
            <w:r w:rsidR="41051146">
              <w:t>tidest</w:t>
            </w:r>
            <w:r w:rsidR="008512A0">
              <w:t xml:space="preserve">. Selle kohta aga eristatavat statistikat ei esine. Küll aga on eelnõu autorid nõus, et </w:t>
            </w:r>
            <w:r w:rsidR="00251687">
              <w:t xml:space="preserve">alapunktis märgitud üldisem statistika peaks olema kõikehõlmavam, mistõttu on viidatud lõiku ka muudetud. </w:t>
            </w:r>
          </w:p>
        </w:tc>
      </w:tr>
      <w:tr w:rsidR="00D22FD2" w14:paraId="08CA07A9" w14:textId="77777777" w:rsidTr="00617FBE">
        <w:tc>
          <w:tcPr>
            <w:tcW w:w="576" w:type="dxa"/>
          </w:tcPr>
          <w:p w14:paraId="064073B8" w14:textId="646523E2" w:rsidR="000179B5" w:rsidRDefault="00056A10" w:rsidP="000179B5">
            <w:pPr>
              <w:jc w:val="center"/>
            </w:pPr>
            <w:r>
              <w:t>20</w:t>
            </w:r>
          </w:p>
        </w:tc>
        <w:tc>
          <w:tcPr>
            <w:tcW w:w="5040" w:type="dxa"/>
          </w:tcPr>
          <w:p w14:paraId="289F4F1A" w14:textId="5D843F70" w:rsidR="007D470A" w:rsidRPr="006F7FD8" w:rsidRDefault="007D470A" w:rsidP="007D470A">
            <w:r w:rsidRPr="006F7FD8">
              <w:t xml:space="preserve">Seoses eelnõu seletuskirja peatükk 6 (seaduse mõjud) alapunktidega 2.3. ja 2.4. palub Finantsinspektsioon parandada turuosaliste arvud. 2025. aasta lõpu seisuga: </w:t>
            </w:r>
          </w:p>
          <w:p w14:paraId="68557826" w14:textId="5D2FCBD5" w:rsidR="007D470A" w:rsidRPr="006F7FD8" w:rsidRDefault="007D470A" w:rsidP="007D470A">
            <w:pPr>
              <w:pStyle w:val="Loendilik"/>
              <w:numPr>
                <w:ilvl w:val="0"/>
                <w:numId w:val="26"/>
              </w:numPr>
            </w:pPr>
            <w:r w:rsidRPr="006F7FD8">
              <w:t xml:space="preserve">8 krediidiasutust; </w:t>
            </w:r>
          </w:p>
          <w:p w14:paraId="76897976" w14:textId="5CDF89E1" w:rsidR="007D470A" w:rsidRPr="006F7FD8" w:rsidRDefault="007D470A" w:rsidP="007D470A">
            <w:pPr>
              <w:pStyle w:val="Loendilik"/>
              <w:numPr>
                <w:ilvl w:val="0"/>
                <w:numId w:val="26"/>
              </w:numPr>
            </w:pPr>
            <w:r w:rsidRPr="006F7FD8">
              <w:lastRenderedPageBreak/>
              <w:t xml:space="preserve">5 välisriikide krediidiasutuste filiaali (tegelikult 6, kuid üks ei paku tarbijakrediiti); </w:t>
            </w:r>
          </w:p>
          <w:p w14:paraId="56EDE208" w14:textId="55BFCBEB" w:rsidR="007D470A" w:rsidRPr="006F7FD8" w:rsidRDefault="007D470A" w:rsidP="007D470A">
            <w:pPr>
              <w:pStyle w:val="Loendilik"/>
              <w:numPr>
                <w:ilvl w:val="0"/>
                <w:numId w:val="26"/>
              </w:numPr>
            </w:pPr>
            <w:r w:rsidRPr="006F7FD8">
              <w:t>32 krediidiandjat;</w:t>
            </w:r>
          </w:p>
          <w:p w14:paraId="41F8E378" w14:textId="59804F8F" w:rsidR="007D470A" w:rsidRPr="006F7FD8" w:rsidRDefault="007D470A" w:rsidP="007D470A">
            <w:pPr>
              <w:pStyle w:val="Loendilik"/>
              <w:numPr>
                <w:ilvl w:val="0"/>
                <w:numId w:val="26"/>
              </w:numPr>
            </w:pPr>
            <w:r w:rsidRPr="006F7FD8">
              <w:t>9 erandi alusel tegutsevat krediidiandjat (KAVS § 2 lõige 8);</w:t>
            </w:r>
          </w:p>
          <w:p w14:paraId="08ECAC40" w14:textId="7AE3DF6B" w:rsidR="007D470A" w:rsidRPr="006F7FD8" w:rsidRDefault="007D470A" w:rsidP="007D470A">
            <w:pPr>
              <w:pStyle w:val="Loendilik"/>
              <w:numPr>
                <w:ilvl w:val="0"/>
                <w:numId w:val="26"/>
              </w:numPr>
            </w:pPr>
            <w:r w:rsidRPr="006F7FD8">
              <w:t>7 krediidivahendajat;</w:t>
            </w:r>
          </w:p>
          <w:p w14:paraId="46E8E1D9" w14:textId="39C3C2B8" w:rsidR="007D470A" w:rsidRPr="006F7FD8" w:rsidRDefault="007D470A" w:rsidP="007D470A">
            <w:pPr>
              <w:pStyle w:val="Loendilik"/>
              <w:numPr>
                <w:ilvl w:val="0"/>
                <w:numId w:val="26"/>
              </w:numPr>
            </w:pPr>
            <w:r w:rsidRPr="006F7FD8">
              <w:t xml:space="preserve">3 krediidiagenti. </w:t>
            </w:r>
          </w:p>
          <w:p w14:paraId="2F691438" w14:textId="3C8A1D41" w:rsidR="007D470A" w:rsidRPr="006F7FD8" w:rsidRDefault="007D470A" w:rsidP="007D470A">
            <w:r w:rsidRPr="006F7FD8">
              <w:t xml:space="preserve">Finantsinspektsioon leiab, et ei ole asjakohane arvestada krediidivahendajate puhul turuosaliste hulka </w:t>
            </w:r>
            <w:proofErr w:type="spellStart"/>
            <w:r w:rsidRPr="006F7FD8">
              <w:t>ülepiirilisi</w:t>
            </w:r>
            <w:proofErr w:type="spellEnd"/>
            <w:r w:rsidRPr="006F7FD8">
              <w:t xml:space="preserve"> teenusepakkujaid olukorras, kus näiteks krediidiasutuste puhul ei kasutata sama loogikat. </w:t>
            </w:r>
          </w:p>
          <w:p w14:paraId="71A3FD48" w14:textId="5C4484BA" w:rsidR="000179B5" w:rsidRDefault="007D470A" w:rsidP="000179B5">
            <w:pPr>
              <w:rPr>
                <w:highlight w:val="cyan"/>
              </w:rPr>
            </w:pPr>
            <w:r w:rsidRPr="006F7FD8">
              <w:t>Lisaks teeb Finantsinspektsioon ettepaneku kaaluda seletuskirja peatükk 6 alapunkti 2.4.eemaldamist. Punkt kordab osaliselt alapunktis 2.3. toodut ning arvestades, et juriidilistele isikutele krediiti andvad ettevõtted ei ole eelnõu sihtrühm, ei avalda eelnõus toodu neile ka mõju.</w:t>
            </w:r>
          </w:p>
        </w:tc>
        <w:tc>
          <w:tcPr>
            <w:tcW w:w="5016" w:type="dxa"/>
          </w:tcPr>
          <w:p w14:paraId="2C5F6C3F" w14:textId="77777777" w:rsidR="000179B5" w:rsidRPr="000C5FB8" w:rsidRDefault="006D6A42" w:rsidP="006D442A">
            <w:pPr>
              <w:rPr>
                <w:b/>
                <w:bCs/>
              </w:rPr>
            </w:pPr>
            <w:r w:rsidRPr="000C5FB8">
              <w:rPr>
                <w:b/>
                <w:bCs/>
              </w:rPr>
              <w:lastRenderedPageBreak/>
              <w:t>Arvestatud.</w:t>
            </w:r>
          </w:p>
          <w:p w14:paraId="0B8E6907" w14:textId="77777777" w:rsidR="006D6A42" w:rsidRDefault="00E93D54" w:rsidP="006D442A">
            <w:r>
              <w:t>Eelnõu seletuskirja mõjuhinnangus on turuosaliste arv</w:t>
            </w:r>
            <w:r w:rsidR="00A91C89">
              <w:t xml:space="preserve"> uuendatud.</w:t>
            </w:r>
          </w:p>
          <w:p w14:paraId="7868E57C" w14:textId="77777777" w:rsidR="00A91C89" w:rsidRDefault="005F14CD" w:rsidP="006D442A">
            <w:r>
              <w:t xml:space="preserve">Krediidivahendajate hulgast on välja arvatud </w:t>
            </w:r>
            <w:proofErr w:type="spellStart"/>
            <w:r w:rsidR="000C5FB8">
              <w:t>ülepiirilised</w:t>
            </w:r>
            <w:proofErr w:type="spellEnd"/>
            <w:r w:rsidR="000C5FB8">
              <w:t xml:space="preserve"> teenusepakkujad. </w:t>
            </w:r>
          </w:p>
          <w:p w14:paraId="3B38B023" w14:textId="7412BBD4" w:rsidR="000C5FB8" w:rsidRDefault="00640982" w:rsidP="006D442A">
            <w:r>
              <w:lastRenderedPageBreak/>
              <w:t xml:space="preserve">Eelnõu seletuskirjast on eraldiseisev punkt 2.4. eemaldatud. Küll aga viidatakse </w:t>
            </w:r>
            <w:r w:rsidR="00D80586">
              <w:t xml:space="preserve">juriidilistele isikutele krediiti pakkuvatele ettevõtjatele </w:t>
            </w:r>
            <w:r w:rsidR="007978BC">
              <w:t xml:space="preserve">alapunktis 2.3., et säiliks vastav võrdluspunkt. </w:t>
            </w:r>
          </w:p>
        </w:tc>
      </w:tr>
      <w:tr w:rsidR="00D22FD2" w14:paraId="6FEC5432" w14:textId="77777777" w:rsidTr="00617FBE">
        <w:tc>
          <w:tcPr>
            <w:tcW w:w="576" w:type="dxa"/>
          </w:tcPr>
          <w:p w14:paraId="499482CF" w14:textId="06E8F5D6" w:rsidR="000179B5" w:rsidRDefault="00056A10" w:rsidP="000179B5">
            <w:pPr>
              <w:jc w:val="center"/>
            </w:pPr>
            <w:r>
              <w:lastRenderedPageBreak/>
              <w:t>21</w:t>
            </w:r>
          </w:p>
        </w:tc>
        <w:tc>
          <w:tcPr>
            <w:tcW w:w="5040" w:type="dxa"/>
          </w:tcPr>
          <w:p w14:paraId="4ABB6478" w14:textId="6A7B42E5" w:rsidR="00524B25" w:rsidRPr="00251687" w:rsidRDefault="00524B25" w:rsidP="00524B25">
            <w:r w:rsidRPr="00251687">
              <w:t xml:space="preserve">Eelnõu seletuskirja peatükk 6 (seaduse mõjud) alapunktiga 2.7. seoses märgib Finantsinspektsioon, et Finantsinspektsiooni pädevus on laiem, kui seletuskirjas toodu. Järelevalve hõlmab ka näiteks krediidiinkassosid, </w:t>
            </w:r>
            <w:proofErr w:type="spellStart"/>
            <w:r w:rsidRPr="00251687">
              <w:t>ühisrah</w:t>
            </w:r>
            <w:r w:rsidR="00FC127D" w:rsidRPr="00251687">
              <w:t>a</w:t>
            </w:r>
            <w:r w:rsidRPr="00251687">
              <w:t>stusteenuse</w:t>
            </w:r>
            <w:proofErr w:type="spellEnd"/>
            <w:r w:rsidRPr="00251687">
              <w:t xml:space="preserve"> osutajaid ja </w:t>
            </w:r>
            <w:proofErr w:type="spellStart"/>
            <w:r w:rsidRPr="00251687">
              <w:t>krüptovara</w:t>
            </w:r>
            <w:proofErr w:type="spellEnd"/>
            <w:r w:rsidRPr="00251687">
              <w:t xml:space="preserve"> turgu. </w:t>
            </w:r>
          </w:p>
          <w:p w14:paraId="616B23AD" w14:textId="6E0AAC9B" w:rsidR="000179B5" w:rsidRDefault="00524B25" w:rsidP="000179B5">
            <w:pPr>
              <w:rPr>
                <w:highlight w:val="cyan"/>
              </w:rPr>
            </w:pPr>
            <w:r w:rsidRPr="00251687">
              <w:t xml:space="preserve">Finantsinspektsioon peab vajalikuks lisaks märkida, et tasuta krediidi (nt „osta kohe, maksa hiljem“ lahendused, maksetähtaja pikendused) hõlmamine tarbijakrediidi regulatsiooni alla tähendab, et turule võivad lisanduda uued järelevalve subjektid (nt kaupmehed või </w:t>
            </w:r>
            <w:proofErr w:type="spellStart"/>
            <w:r w:rsidRPr="00251687">
              <w:t>fintech</w:t>
            </w:r>
            <w:proofErr w:type="spellEnd"/>
            <w:r w:rsidRPr="00251687">
              <w:t>-ettevõtjad, kes seni ei olnud krediidiandjatena käsitatavad), mis tähendab tegevusloa taotluse menetlusi.</w:t>
            </w:r>
          </w:p>
        </w:tc>
        <w:tc>
          <w:tcPr>
            <w:tcW w:w="5016" w:type="dxa"/>
          </w:tcPr>
          <w:p w14:paraId="39067F07" w14:textId="77777777" w:rsidR="000179B5" w:rsidRPr="006D6652" w:rsidRDefault="00BF3307" w:rsidP="00BF3307">
            <w:pPr>
              <w:rPr>
                <w:b/>
                <w:bCs/>
              </w:rPr>
            </w:pPr>
            <w:r w:rsidRPr="006D6652">
              <w:rPr>
                <w:b/>
                <w:bCs/>
              </w:rPr>
              <w:t>Arvestat</w:t>
            </w:r>
            <w:r w:rsidR="00FC127D" w:rsidRPr="006D6652">
              <w:rPr>
                <w:b/>
                <w:bCs/>
              </w:rPr>
              <w:t>ud.</w:t>
            </w:r>
          </w:p>
          <w:p w14:paraId="664493F0" w14:textId="551C7BDB" w:rsidR="00FC127D" w:rsidRDefault="00FC127D" w:rsidP="00BF3307">
            <w:r>
              <w:t xml:space="preserve">Finantsinspektsiooni pädevuse ulatust on eelnõu seletuskirja mõjuhinnangus täpsustatud. </w:t>
            </w:r>
          </w:p>
        </w:tc>
      </w:tr>
      <w:tr w:rsidR="00D22FD2" w14:paraId="4FE203F0" w14:textId="77777777" w:rsidTr="00617FBE">
        <w:tc>
          <w:tcPr>
            <w:tcW w:w="576" w:type="dxa"/>
          </w:tcPr>
          <w:p w14:paraId="58670596" w14:textId="558DF66F" w:rsidR="000179B5" w:rsidRDefault="00056A10" w:rsidP="000179B5">
            <w:pPr>
              <w:jc w:val="center"/>
            </w:pPr>
            <w:r>
              <w:t>22</w:t>
            </w:r>
          </w:p>
        </w:tc>
        <w:tc>
          <w:tcPr>
            <w:tcW w:w="5040" w:type="dxa"/>
          </w:tcPr>
          <w:p w14:paraId="034E3C6A" w14:textId="1F08F92C" w:rsidR="000179B5" w:rsidRPr="00251687" w:rsidRDefault="00E32E94" w:rsidP="000179B5">
            <w:r w:rsidRPr="00251687">
              <w:t>Eelnõu seletuskirja peatükk 6 (seaduse mõjud) alapunktis 2.8. on soovitud kirjeldada mõjusid, mida muudatused avaldavad Tarbijakaitse ja Tehnilise Järelevalve Ametile, kuid kirjeldatud on mõjusid Finantsinspektsioonile.</w:t>
            </w:r>
          </w:p>
        </w:tc>
        <w:tc>
          <w:tcPr>
            <w:tcW w:w="5016" w:type="dxa"/>
          </w:tcPr>
          <w:p w14:paraId="3C10CE29" w14:textId="3AA7031E" w:rsidR="002A6C9D" w:rsidRDefault="002A6C9D" w:rsidP="002A6C9D">
            <w:pPr>
              <w:rPr>
                <w:b/>
                <w:bCs/>
              </w:rPr>
            </w:pPr>
            <w:r w:rsidRPr="002A6C9D">
              <w:rPr>
                <w:b/>
                <w:bCs/>
              </w:rPr>
              <w:t>Arvestatud.</w:t>
            </w:r>
          </w:p>
          <w:p w14:paraId="6B7057B7" w14:textId="4BFB0BE9" w:rsidR="004025F3" w:rsidRPr="00812085" w:rsidRDefault="00812085" w:rsidP="002A6C9D">
            <w:r>
              <w:t xml:space="preserve">Tarbijakaitse ja Tehnilise Järelevalve Ametile avalduvate mõju osa on lisatud </w:t>
            </w:r>
            <w:r w:rsidR="009336BF">
              <w:t xml:space="preserve">Finantsinspektsiooni </w:t>
            </w:r>
            <w:r>
              <w:t xml:space="preserve">puudutava </w:t>
            </w:r>
            <w:r w:rsidR="00711DEC">
              <w:t xml:space="preserve">alapunkti juurde. </w:t>
            </w:r>
          </w:p>
        </w:tc>
      </w:tr>
      <w:tr w:rsidR="006E58EF" w14:paraId="560D3EC9" w14:textId="77777777" w:rsidTr="00617FBE">
        <w:tc>
          <w:tcPr>
            <w:tcW w:w="10632" w:type="dxa"/>
            <w:gridSpan w:val="3"/>
          </w:tcPr>
          <w:p w14:paraId="0DC19211" w14:textId="0E6A3BDE" w:rsidR="004C71C7" w:rsidRDefault="00056A10" w:rsidP="004C71C7">
            <w:r>
              <w:t>Jõustumisaeg</w:t>
            </w:r>
          </w:p>
        </w:tc>
      </w:tr>
      <w:tr w:rsidR="00D22FD2" w14:paraId="002BBEFD" w14:textId="77777777" w:rsidTr="00617FBE">
        <w:tc>
          <w:tcPr>
            <w:tcW w:w="576" w:type="dxa"/>
          </w:tcPr>
          <w:p w14:paraId="461CCAFA" w14:textId="5E58BFFC" w:rsidR="000179B5" w:rsidRDefault="00056A10" w:rsidP="000179B5">
            <w:pPr>
              <w:jc w:val="center"/>
            </w:pPr>
            <w:r>
              <w:t>23</w:t>
            </w:r>
          </w:p>
        </w:tc>
        <w:tc>
          <w:tcPr>
            <w:tcW w:w="5040" w:type="dxa"/>
          </w:tcPr>
          <w:p w14:paraId="17CE0BC7" w14:textId="096D4ABF" w:rsidR="00694A2F" w:rsidRDefault="00694A2F" w:rsidP="00694A2F">
            <w:r>
              <w:t xml:space="preserve">Seoses seaduse jõustumisega märgib Finantsinspektsioon, et CCDII ülevõtmise tähtaeg oli 20.11.2025, kuid esimest tagasisidet eelnõule oodatakse hiljemalt 06. märts 2026. See tähendab, et eelnõu tekst on kindlasti veel muutuses ning oodata on täiendavaid muudatusi kooskõlastusringil ja Riigikogu menetluses. Kuuekuuline </w:t>
            </w:r>
            <w:proofErr w:type="spellStart"/>
            <w:r>
              <w:t>vacatio</w:t>
            </w:r>
            <w:proofErr w:type="spellEnd"/>
            <w:r>
              <w:t xml:space="preserve"> </w:t>
            </w:r>
            <w:proofErr w:type="spellStart"/>
            <w:r>
              <w:t>legis</w:t>
            </w:r>
            <w:proofErr w:type="spellEnd"/>
            <w:r>
              <w:t xml:space="preserve"> ei pruugi tegelikkuses enam täies mahus realiseeruda.</w:t>
            </w:r>
          </w:p>
          <w:p w14:paraId="59A3ACE3" w14:textId="06D830C8" w:rsidR="000179B5" w:rsidRDefault="00694A2F" w:rsidP="000179B5">
            <w:r>
              <w:lastRenderedPageBreak/>
              <w:t>Praktikas hakkab tegelik ettevalmistusperiood kulgema alles pärast seaduse lõpliku redaktsiooni vastuvõtmist ja avaldamist. Kui lõplik regulatsioon selgub alles 2026. aasta keskel või sügisel, ei ole objektiivselt võimalik kõiki muutusi ja arendusi 20. novembriks 2026 nõuetekohaselt rakendada. Kuuekuuline periood seaduse väljakuulutamise ja jõustumise vahel on pigem optimistlik kui realistlik.</w:t>
            </w:r>
          </w:p>
        </w:tc>
        <w:tc>
          <w:tcPr>
            <w:tcW w:w="5016" w:type="dxa"/>
          </w:tcPr>
          <w:p w14:paraId="47CA4C51" w14:textId="70318755" w:rsidR="000179B5" w:rsidRDefault="4893D2CF" w:rsidP="343C9844">
            <w:r w:rsidRPr="343C9844">
              <w:rPr>
                <w:b/>
                <w:bCs/>
              </w:rPr>
              <w:lastRenderedPageBreak/>
              <w:t>Arvestatud osaliselt / Selgitatud.</w:t>
            </w:r>
            <w:r>
              <w:t xml:space="preserve"> </w:t>
            </w:r>
          </w:p>
          <w:p w14:paraId="49BCC76F" w14:textId="5C37C9B4" w:rsidR="000179B5" w:rsidRDefault="4893D2CF" w:rsidP="343C9844">
            <w:r>
              <w:t xml:space="preserve">Justiits- ja Digiministeerium mõistab praktilist vajadust eelnõu jõustumistähtaja edasilükkamise järele. </w:t>
            </w:r>
          </w:p>
          <w:p w14:paraId="772C7905" w14:textId="3CE1F27C" w:rsidR="000179B5" w:rsidRDefault="4893D2CF" w:rsidP="343C9844">
            <w:r>
              <w:t xml:space="preserve">Eelnõuga on lükatud seaduse jõustumiskuupäeva võrreldes esialgu kavandatuga kuus kuud edasi. Sellest pikem edasilükkamine tekitaks oluliselt suurema rikkumismenetluse ohu. Seetõttu ei saa pikemat </w:t>
            </w:r>
            <w:r w:rsidR="083BAFAC">
              <w:t>tähtaeg</w:t>
            </w:r>
            <w:r w:rsidR="4B0C239D">
              <w:t>a</w:t>
            </w:r>
            <w:r>
              <w:t xml:space="preserve"> ette näha. Kuid praktilisest </w:t>
            </w:r>
            <w:r>
              <w:lastRenderedPageBreak/>
              <w:t>vajadusest lähtuvalt lükatakse jõustumistähtaeg kuus kuud edasi</w:t>
            </w:r>
          </w:p>
        </w:tc>
      </w:tr>
      <w:tr w:rsidR="002A6C9D" w14:paraId="5239406B" w14:textId="77777777" w:rsidTr="00617FBE">
        <w:tc>
          <w:tcPr>
            <w:tcW w:w="10632" w:type="dxa"/>
            <w:gridSpan w:val="3"/>
          </w:tcPr>
          <w:p w14:paraId="14DBE051" w14:textId="11300529" w:rsidR="00EA7F22" w:rsidRDefault="00EA7F22" w:rsidP="00EA7F22">
            <w:r>
              <w:lastRenderedPageBreak/>
              <w:t>Muud ettepanekud</w:t>
            </w:r>
          </w:p>
        </w:tc>
      </w:tr>
      <w:tr w:rsidR="00D22FD2" w14:paraId="68AFE606" w14:textId="77777777" w:rsidTr="00617FBE">
        <w:tc>
          <w:tcPr>
            <w:tcW w:w="576" w:type="dxa"/>
          </w:tcPr>
          <w:p w14:paraId="294AA14A" w14:textId="3499E9FE" w:rsidR="000179B5" w:rsidRDefault="004C3672" w:rsidP="000179B5">
            <w:pPr>
              <w:jc w:val="center"/>
            </w:pPr>
            <w:r>
              <w:t>24</w:t>
            </w:r>
          </w:p>
        </w:tc>
        <w:tc>
          <w:tcPr>
            <w:tcW w:w="5040" w:type="dxa"/>
          </w:tcPr>
          <w:p w14:paraId="2F1A6243" w14:textId="144632BC" w:rsidR="000179B5" w:rsidRDefault="001B2F64" w:rsidP="000179B5">
            <w:r>
              <w:t>Finantsinspektsiooni hinnangul on põhjendatud Eestis vastutustundliku laenamise regulatsiooni laiem ülevaatamine, mis võimaldaks nõudeid täiendada konkreetsete mõõtmete ja kvantitatiivsete näitajatega, mida krediidiandjad saavad tegelikus hindamises usaldusväärselt rakendada.</w:t>
            </w:r>
            <w:r w:rsidR="00EA7F22">
              <w:t xml:space="preserve"> Seetõttu võiks kaaluda kehtestada mõningad selged ja mõõdetavad hindamiskriteeriumid, näiteks suhtarvud, statistilised analüüsid või konkreetsed andmeallikad, mis võimaldavad krediidiandjal rakendada proportsionaalset hindamist. Eesmärk ei ole määrata kõigile ühesugused kriteeriumid, vaid vähendada krediidiandjate hindamiste erinevusi ja seeläbi tagada ühtne ning prognoositav praktika. Samal ajal tuleb säilitada riskipõhine ja proportsionaalne lähenemine, et krediidihindamine oleks adekvaatne tarbija ja krediidi suuruse suhtes ning kooskõlas teiste liikmesriikide praktika ja finantsteenuste piiriülesuse aspektiga, vältides liigset bürokraatiat ja koormust.</w:t>
            </w:r>
          </w:p>
        </w:tc>
        <w:tc>
          <w:tcPr>
            <w:tcW w:w="5016" w:type="dxa"/>
          </w:tcPr>
          <w:p w14:paraId="2B04CE29" w14:textId="5BB119FB" w:rsidR="1CA5E901" w:rsidRDefault="1CA5E901" w:rsidP="178B8483">
            <w:r w:rsidRPr="6D6417C8">
              <w:rPr>
                <w:b/>
              </w:rPr>
              <w:t>Mittearvestatud</w:t>
            </w:r>
            <w:r w:rsidR="712DDACB" w:rsidRPr="6D6417C8">
              <w:rPr>
                <w:b/>
              </w:rPr>
              <w:t xml:space="preserve"> /selgitatud</w:t>
            </w:r>
          </w:p>
          <w:p w14:paraId="2238660E" w14:textId="0A7CE2AF" w:rsidR="000179B5" w:rsidRDefault="52C8BEF8" w:rsidP="00B16F1E">
            <w:pPr>
              <w:rPr>
                <w:rFonts w:eastAsia="Times New Roman"/>
              </w:rPr>
            </w:pPr>
            <w:r>
              <w:t xml:space="preserve">Justiits- ja Digiministeerium mõistab selle ettepaneku eesmärki ja peab seda küsimuseks, mis väärib võimalusel tulevikus kaalumist. Aga kõnealuse eelnõu eesmärk on uue tarbijakrediidi direktiivi </w:t>
            </w:r>
            <w:r w:rsidR="51C69904">
              <w:t xml:space="preserve">ülevõtmine. Direktiiv ei nõua liikmesriikidelt </w:t>
            </w:r>
            <w:r w:rsidR="66E85AE3">
              <w:t xml:space="preserve">ilmtingimata </w:t>
            </w:r>
            <w:r w:rsidR="51C69904">
              <w:t xml:space="preserve">kvantitatiivsete kriteeriumite ettenägemist. Samuti on see küsimus, mis </w:t>
            </w:r>
            <w:r w:rsidR="1023A0DB" w:rsidRPr="56EB9B39">
              <w:rPr>
                <w:rFonts w:eastAsia="Times New Roman"/>
              </w:rPr>
              <w:t>vajab omakorda eraldi ideekorjet, arvamuste küsimist ja kohtumisi erinevate asjast huvitatud isikutega (mitte ainult krediidiandjad, aga ka kohtud, muud asutused jne</w:t>
            </w:r>
            <w:r w:rsidR="1023A0DB" w:rsidRPr="735AF5D2">
              <w:rPr>
                <w:rFonts w:eastAsia="Times New Roman"/>
              </w:rPr>
              <w:t xml:space="preserve">). See tähendab, et sellist muudatust ei saaks teha ilma täiendava analüüsita ega ilma täiendava </w:t>
            </w:r>
            <w:r w:rsidR="1A305942" w:rsidRPr="735AF5D2">
              <w:rPr>
                <w:rFonts w:eastAsia="Times New Roman"/>
              </w:rPr>
              <w:t xml:space="preserve">huvirühmade kaasamiseta. </w:t>
            </w:r>
            <w:r w:rsidR="1A305942" w:rsidRPr="781C3923">
              <w:rPr>
                <w:rFonts w:eastAsia="Times New Roman"/>
              </w:rPr>
              <w:t xml:space="preserve">Kõnealuse eelnõuga ei saa seda teha, </w:t>
            </w:r>
            <w:r w:rsidR="1A305942" w:rsidRPr="1FF7C0D8">
              <w:rPr>
                <w:rFonts w:eastAsia="Times New Roman"/>
              </w:rPr>
              <w:t xml:space="preserve">kuna </w:t>
            </w:r>
            <w:r w:rsidR="1A305942" w:rsidRPr="2BF6DF2A">
              <w:rPr>
                <w:rFonts w:eastAsia="Times New Roman"/>
              </w:rPr>
              <w:t xml:space="preserve">see venitaks direktiivi ülevõtmist. </w:t>
            </w:r>
          </w:p>
        </w:tc>
      </w:tr>
      <w:tr w:rsidR="002A6C9D" w14:paraId="281309CC" w14:textId="77777777" w:rsidTr="00617FBE">
        <w:tc>
          <w:tcPr>
            <w:tcW w:w="10632" w:type="dxa"/>
            <w:gridSpan w:val="3"/>
          </w:tcPr>
          <w:p w14:paraId="5F50567E" w14:textId="2A842726" w:rsidR="001A1228" w:rsidRPr="001A1228" w:rsidRDefault="001A1228" w:rsidP="001A1228">
            <w:pPr>
              <w:jc w:val="left"/>
              <w:rPr>
                <w:b/>
                <w:bCs/>
              </w:rPr>
            </w:pPr>
            <w:r w:rsidRPr="001A1228">
              <w:rPr>
                <w:b/>
                <w:bCs/>
              </w:rPr>
              <w:t>Krediidiregister OÜ</w:t>
            </w:r>
          </w:p>
        </w:tc>
      </w:tr>
      <w:tr w:rsidR="00D22FD2" w14:paraId="74BF943B" w14:textId="77777777" w:rsidTr="00617FBE">
        <w:tc>
          <w:tcPr>
            <w:tcW w:w="576" w:type="dxa"/>
          </w:tcPr>
          <w:p w14:paraId="5C812301" w14:textId="563937B5" w:rsidR="009C65FB" w:rsidRDefault="004C3672" w:rsidP="000179B5">
            <w:pPr>
              <w:jc w:val="center"/>
            </w:pPr>
            <w:r>
              <w:t>1</w:t>
            </w:r>
          </w:p>
        </w:tc>
        <w:tc>
          <w:tcPr>
            <w:tcW w:w="5040" w:type="dxa"/>
          </w:tcPr>
          <w:p w14:paraId="0CCA01E9" w14:textId="788DD47E" w:rsidR="009C65FB" w:rsidRDefault="009C65FB" w:rsidP="00425F5A">
            <w:r w:rsidRPr="00B016C2">
              <w:t>Palume direktiivi artikkel 19 üle võtta KAVS/</w:t>
            </w:r>
            <w:proofErr w:type="spellStart"/>
            <w:r w:rsidRPr="00B016C2">
              <w:t>KAS´i</w:t>
            </w:r>
            <w:proofErr w:type="spellEnd"/>
            <w:r w:rsidRPr="00B016C2">
              <w:t xml:space="preserve"> mitte </w:t>
            </w:r>
            <w:proofErr w:type="spellStart"/>
            <w:r w:rsidRPr="00B016C2">
              <w:t>IKS-is</w:t>
            </w:r>
            <w:proofErr w:type="spellEnd"/>
            <w:r w:rsidRPr="00B016C2">
              <w:t>.</w:t>
            </w:r>
          </w:p>
          <w:p w14:paraId="28492F00" w14:textId="4796535C" w:rsidR="009C65FB" w:rsidRDefault="5C94D080" w:rsidP="00425F5A">
            <w:r>
              <w:t xml:space="preserve">Esiteks ei muuda ainuüksi asjaolu, et regulatsioon puudutab isikuandmete töötlemist, seda automaatselt andmekaitseõiguslikuks põhiregulatsiooniks. Tarbijakrediidi valdkonda reguleerivad normid, isegi kui need sisaldavad andmetöötluslikke elemente, teenivad eeskätt turukorralduslikku ja tarbijakaitselist eesmärki, mitte isikuandmete kaitse </w:t>
            </w:r>
            <w:proofErr w:type="spellStart"/>
            <w:r>
              <w:t>üldraamistiku</w:t>
            </w:r>
            <w:proofErr w:type="spellEnd"/>
            <w:r>
              <w:t xml:space="preserve"> kujundamist. </w:t>
            </w:r>
            <w:proofErr w:type="spellStart"/>
            <w:r>
              <w:t>IKS´i</w:t>
            </w:r>
            <w:proofErr w:type="spellEnd"/>
            <w:r>
              <w:t xml:space="preserve"> eesmärk on tagada </w:t>
            </w:r>
            <w:proofErr w:type="spellStart"/>
            <w:r>
              <w:t>IKÜM´i</w:t>
            </w:r>
            <w:proofErr w:type="spellEnd"/>
            <w:r>
              <w:t xml:space="preserve"> riigisisene rakendamine ja täpsustamine, mitte luua eriregulatsiooni krediidituru toimimise reguleerimiseks.</w:t>
            </w:r>
          </w:p>
          <w:p w14:paraId="4CDB1C97" w14:textId="316D4A00" w:rsidR="009C65FB" w:rsidRDefault="009C65FB" w:rsidP="00425F5A"/>
          <w:p w14:paraId="08869ED8" w14:textId="121A74AB" w:rsidR="009C65FB" w:rsidRDefault="5C94D080" w:rsidP="00425F5A">
            <w:r>
              <w:t xml:space="preserve">Teiseks toob regulatsiooni paigutamine </w:t>
            </w:r>
            <w:proofErr w:type="spellStart"/>
            <w:r>
              <w:t>IKS´i</w:t>
            </w:r>
            <w:proofErr w:type="spellEnd"/>
            <w:r>
              <w:t xml:space="preserve"> kaasa süsteemse kõrvalekaldumise seaduse </w:t>
            </w:r>
            <w:r>
              <w:lastRenderedPageBreak/>
              <w:t xml:space="preserve">reguleerimisalas. IKS kehtestab andmetöötluse põhimõtted ja järelevalveraamistiku. Tarbijakrediidi spetsiifiliste kohustuste lisamine seadusesse laiendab </w:t>
            </w:r>
            <w:proofErr w:type="spellStart"/>
            <w:r>
              <w:t>IKS-i</w:t>
            </w:r>
            <w:proofErr w:type="spellEnd"/>
            <w:r>
              <w:t xml:space="preserve"> esemelist</w:t>
            </w:r>
          </w:p>
          <w:p w14:paraId="1B4B7F2A" w14:textId="26E3F24A" w:rsidR="009C65FB" w:rsidRDefault="5C94D080" w:rsidP="00425F5A">
            <w:r>
              <w:t>kohaldamisala valdkondlikuks eriregulatsiooniks, mis ei ole kooskõlas seaduse ülesehitusega.</w:t>
            </w:r>
          </w:p>
          <w:p w14:paraId="30982642" w14:textId="4DE485E5" w:rsidR="009C65FB" w:rsidRDefault="5C94D080" w:rsidP="00425F5A">
            <w:r>
              <w:t xml:space="preserve">Kolmandaks ei ole veenev argument, et normid ei sobi eraõiguslikku või subjektipõhisesse seadusesse. Regulatsiooni avalik-õiguslik iseloom ei välista selle paigutamist valdkonnaseadusess, kui see teenib konkreetse turu või tegevusvaldkonna reguleerimise eesmärki. Õigusloome hea tava kohaselt tuleks eriregulatsioon paigutada sellesse seadusesse mis reguleerib vastavat majandustegevuse valdkonda, mitte </w:t>
            </w:r>
            <w:proofErr w:type="spellStart"/>
            <w:r>
              <w:t>üldseadusesse</w:t>
            </w:r>
            <w:proofErr w:type="spellEnd"/>
            <w:r>
              <w:t xml:space="preserve">, mille keskne eesmärk on andmesubjekti (kelleks ei ole vaid tarbijakrediidi taotleja/saaja) põhiõiguste kaitse laiemas kontekstis. Kavandatav lahendus hägustab </w:t>
            </w:r>
            <w:proofErr w:type="spellStart"/>
            <w:r>
              <w:t>IKS´i</w:t>
            </w:r>
            <w:proofErr w:type="spellEnd"/>
            <w:r>
              <w:t xml:space="preserve"> kui üldise andmekaitseraamistiku funktsiooni ning ei ole kooskõlas õigusselguse ja süsteemsuse põhimõttega.</w:t>
            </w:r>
          </w:p>
          <w:p w14:paraId="0839419E" w14:textId="5FCC1D36" w:rsidR="009C65FB" w:rsidRDefault="5C94D080" w:rsidP="00425F5A">
            <w:r>
              <w:t>Neljandaks ka viide Saksamaa lahendusele ei ole määrav ega siduv. Riigisisene normitehniline valik peab lähtuma Eesti õigussüsteemi ülesehitusest ja seaduste vahelisest kooskõlast, mitte teise liikmesriigi tehnilisest lahenduses</w:t>
            </w:r>
          </w:p>
          <w:p w14:paraId="6128D70C" w14:textId="2D671A01" w:rsidR="009C65FB" w:rsidRDefault="009C65FB" w:rsidP="00425F5A"/>
        </w:tc>
        <w:tc>
          <w:tcPr>
            <w:tcW w:w="5016" w:type="dxa"/>
          </w:tcPr>
          <w:p w14:paraId="5E92F261" w14:textId="4395BDCA" w:rsidR="009C65FB" w:rsidRDefault="74B51D80" w:rsidP="64EE31E6">
            <w:pPr>
              <w:ind w:left="-5"/>
            </w:pPr>
            <w:r w:rsidRPr="64EE31E6">
              <w:rPr>
                <w:b/>
                <w:bCs/>
              </w:rPr>
              <w:lastRenderedPageBreak/>
              <w:t>Selgitatud</w:t>
            </w:r>
            <w:r>
              <w:t xml:space="preserve">. </w:t>
            </w:r>
          </w:p>
          <w:p w14:paraId="15F0D76C" w14:textId="4A121846" w:rsidR="009C65FB" w:rsidRDefault="74B51D80" w:rsidP="64EE31E6">
            <w:pPr>
              <w:ind w:left="-5"/>
            </w:pPr>
            <w:r>
              <w:t xml:space="preserve">Eelnõu koostamisel kaaluti seda küsimust põhjalikult. Tegemist on regulatsiooniga, mis on tarbijakrediidi ja andmekaitse n-ö piirimail, kuid enda sisult on siiski tegemist reeglitega, mis kaitsevad tarbija kui andmesubjekti õigusi ja kuuluvad seega temaatiliselt </w:t>
            </w:r>
            <w:proofErr w:type="spellStart"/>
            <w:r>
              <w:t>IKS-i</w:t>
            </w:r>
            <w:proofErr w:type="spellEnd"/>
            <w:r>
              <w:t xml:space="preserve">. Samuti ei ole artikli 19 ülevõtmiseks ka </w:t>
            </w:r>
            <w:proofErr w:type="spellStart"/>
            <w:r>
              <w:t>IKS-ile</w:t>
            </w:r>
            <w:proofErr w:type="spellEnd"/>
            <w:r>
              <w:t xml:space="preserve"> mitte ühtegi paremat alternatiivi. Nagu eelnõu seletuskirjas on selgitatud, siis KAVS,  KIOS ja KAS on subjektipõhised seadused ja kohalduvad üksnes Finantsinspektsiooni järelevalve subjektidele. Krediidiregistrite regulatsioon ei sobiks sinna. Justiits- ja Digiministeerium ei nõustu ka sellega, et teiste riikide valikute hindamine oleks asjakohatu. Loomulikult ei ole see määrav ega siduv. Kuid see on üheks kaalutluseks, mida </w:t>
            </w:r>
            <w:r>
              <w:lastRenderedPageBreak/>
              <w:t xml:space="preserve">riigisiseste valikute tegemisel arvestada. </w:t>
            </w:r>
            <w:r w:rsidR="03239063">
              <w:t xml:space="preserve">Seda eriti olukorras, kus lahendus ei pruugi olla ilmselge. </w:t>
            </w:r>
            <w:r>
              <w:t xml:space="preserve">Kusjuures, eelnõu koostamisel on võrdlusena tuginetud Saksamaa lahendustele, mis on Eesti õigussüsteemi ülesehitamisel olnud oluliseks eeskujuks. Tervikuna on eelnevat arvestades reeglite ettenägemine </w:t>
            </w:r>
            <w:proofErr w:type="spellStart"/>
            <w:r>
              <w:t>IKS-is</w:t>
            </w:r>
            <w:proofErr w:type="spellEnd"/>
            <w:r>
              <w:t xml:space="preserve"> võimalikest variantidest parim.</w:t>
            </w:r>
          </w:p>
          <w:p w14:paraId="76CEC099" w14:textId="640A00B1" w:rsidR="009C65FB" w:rsidRDefault="009C65FB" w:rsidP="000179B5">
            <w:pPr>
              <w:jc w:val="center"/>
            </w:pPr>
          </w:p>
        </w:tc>
      </w:tr>
      <w:tr w:rsidR="00D22FD2" w14:paraId="38352361" w14:textId="77777777" w:rsidTr="00617FBE">
        <w:tc>
          <w:tcPr>
            <w:tcW w:w="576" w:type="dxa"/>
          </w:tcPr>
          <w:p w14:paraId="084A29FA" w14:textId="76DF2930" w:rsidR="000179B5" w:rsidRDefault="00E67C73" w:rsidP="000179B5">
            <w:pPr>
              <w:jc w:val="center"/>
            </w:pPr>
            <w:r>
              <w:lastRenderedPageBreak/>
              <w:t>2</w:t>
            </w:r>
          </w:p>
        </w:tc>
        <w:tc>
          <w:tcPr>
            <w:tcW w:w="5040" w:type="dxa"/>
          </w:tcPr>
          <w:p w14:paraId="20391644" w14:textId="7A8E10F6" w:rsidR="000179B5" w:rsidRDefault="00E67C73" w:rsidP="000179B5">
            <w:r>
              <w:t>Palume viia IKS eelnõu § 10</w:t>
            </w:r>
            <w:r w:rsidR="008145D7">
              <w:rPr>
                <w:vertAlign w:val="superscript"/>
              </w:rPr>
              <w:t>1</w:t>
            </w:r>
            <w:r>
              <w:t xml:space="preserve"> lg 1 sõnastus kooskõlla direktiivi artikkel 19 sõnastusega: andmete reguleerimise asemel reguleerida „andmebaase“.</w:t>
            </w:r>
          </w:p>
        </w:tc>
        <w:tc>
          <w:tcPr>
            <w:tcW w:w="5016" w:type="dxa"/>
          </w:tcPr>
          <w:p w14:paraId="0039AF39" w14:textId="5C956F4E" w:rsidR="000179B5" w:rsidRDefault="2723AF42" w:rsidP="4A5FD024">
            <w:pPr>
              <w:ind w:left="-5"/>
              <w:rPr>
                <w:rFonts w:eastAsia="Times New Roman"/>
                <w:color w:val="000000" w:themeColor="text1"/>
              </w:rPr>
            </w:pPr>
            <w:r w:rsidRPr="4A5FD024">
              <w:rPr>
                <w:rFonts w:eastAsia="Times New Roman"/>
                <w:b/>
                <w:bCs/>
                <w:color w:val="000000" w:themeColor="text1"/>
              </w:rPr>
              <w:t>Mittearvestatud / selgitatud.</w:t>
            </w:r>
          </w:p>
          <w:p w14:paraId="6B8E2C90" w14:textId="119C37DD" w:rsidR="000179B5" w:rsidRDefault="2723AF42" w:rsidP="4A5FD024">
            <w:pPr>
              <w:ind w:left="-5"/>
              <w:rPr>
                <w:rFonts w:eastAsia="Times New Roman"/>
                <w:color w:val="000000" w:themeColor="text1"/>
              </w:rPr>
            </w:pPr>
            <w:r w:rsidRPr="4A5FD024">
              <w:rPr>
                <w:rFonts w:eastAsia="Times New Roman"/>
                <w:color w:val="000000" w:themeColor="text1"/>
              </w:rPr>
              <w:t xml:space="preserve">See on terminoloogiline küsimus, mis ei mõjuta eelnõu sisu. Sõltumata sellest, kas nimetada seda andmete </w:t>
            </w:r>
            <w:r w:rsidRPr="7C3CE6FA">
              <w:rPr>
                <w:rFonts w:eastAsia="Times New Roman"/>
                <w:color w:val="000000" w:themeColor="text1"/>
              </w:rPr>
              <w:t>kogumit</w:t>
            </w:r>
            <w:r w:rsidRPr="4A5FD024">
              <w:rPr>
                <w:rFonts w:eastAsia="Times New Roman"/>
                <w:color w:val="000000" w:themeColor="text1"/>
              </w:rPr>
              <w:t xml:space="preserve"> andmebaasiks, andmekoguks või registriks, on sisuline tulemus sama. </w:t>
            </w:r>
          </w:p>
          <w:p w14:paraId="17B5EB86" w14:textId="7FF0B3A3" w:rsidR="000179B5" w:rsidRDefault="000179B5" w:rsidP="4A5FD024">
            <w:pPr>
              <w:ind w:left="-5"/>
              <w:rPr>
                <w:rFonts w:eastAsia="Times New Roman"/>
                <w:color w:val="000000" w:themeColor="text1"/>
              </w:rPr>
            </w:pPr>
          </w:p>
          <w:p w14:paraId="4BF7C06E" w14:textId="1DCE6EFA" w:rsidR="000179B5" w:rsidRDefault="2723AF42" w:rsidP="4A5FD024">
            <w:pPr>
              <w:ind w:left="-5"/>
              <w:rPr>
                <w:rFonts w:eastAsia="Times New Roman"/>
                <w:color w:val="000000" w:themeColor="text1"/>
              </w:rPr>
            </w:pPr>
            <w:r w:rsidRPr="4A5FD024">
              <w:rPr>
                <w:rFonts w:eastAsia="Times New Roman"/>
                <w:color w:val="000000" w:themeColor="text1"/>
              </w:rPr>
              <w:t xml:space="preserve">Termin “register” vastab hetkel Riigikogu menetluses oleva krediiditeabe jagamise seaduse eelnõu sõnastusele. Sellise kooskõla tagamine (ka sõnastuslikult) on oluline, kuivõrd loodavad </w:t>
            </w:r>
            <w:proofErr w:type="spellStart"/>
            <w:r w:rsidRPr="4A5FD024">
              <w:rPr>
                <w:rFonts w:eastAsia="Times New Roman"/>
                <w:color w:val="000000" w:themeColor="text1"/>
              </w:rPr>
              <w:t>IKS-i</w:t>
            </w:r>
            <w:proofErr w:type="spellEnd"/>
            <w:r w:rsidRPr="4A5FD024">
              <w:rPr>
                <w:rFonts w:eastAsia="Times New Roman"/>
                <w:color w:val="000000" w:themeColor="text1"/>
              </w:rPr>
              <w:t xml:space="preserve"> reeglid hakkavad tulevikus kohalduma ka krediiditeabe jagamise seaduse kohaselt tegutsevale krediiditeaberegistrile. On loogiline, et </w:t>
            </w:r>
            <w:proofErr w:type="spellStart"/>
            <w:r w:rsidRPr="4A5FD024">
              <w:rPr>
                <w:rFonts w:eastAsia="Times New Roman"/>
                <w:color w:val="000000" w:themeColor="text1"/>
              </w:rPr>
              <w:t>IKS-i</w:t>
            </w:r>
            <w:proofErr w:type="spellEnd"/>
            <w:r w:rsidRPr="4A5FD024">
              <w:rPr>
                <w:rFonts w:eastAsia="Times New Roman"/>
                <w:color w:val="000000" w:themeColor="text1"/>
              </w:rPr>
              <w:t xml:space="preserve"> sõnastus arvestab krediiditeabe jagamise seaduse eelnõu sõnastusega.</w:t>
            </w:r>
          </w:p>
          <w:p w14:paraId="575F7947" w14:textId="378F02A7" w:rsidR="000179B5" w:rsidRDefault="000179B5" w:rsidP="4A5FD024">
            <w:pPr>
              <w:ind w:left="-5"/>
              <w:rPr>
                <w:rFonts w:eastAsia="Times New Roman"/>
                <w:color w:val="000000" w:themeColor="text1"/>
              </w:rPr>
            </w:pPr>
          </w:p>
          <w:p w14:paraId="4917FC41" w14:textId="709D32F1" w:rsidR="000179B5" w:rsidRDefault="2723AF42" w:rsidP="007661C3">
            <w:pPr>
              <w:ind w:left="-5"/>
            </w:pPr>
            <w:r w:rsidRPr="4A5FD024">
              <w:rPr>
                <w:rFonts w:eastAsia="Times New Roman"/>
                <w:color w:val="000000" w:themeColor="text1"/>
              </w:rPr>
              <w:t>Vastavad selgitused on lisatud eelnõu seletuskirja.</w:t>
            </w:r>
          </w:p>
        </w:tc>
      </w:tr>
      <w:tr w:rsidR="00D22FD2" w14:paraId="66D9151B" w14:textId="77777777" w:rsidTr="00617FBE">
        <w:tc>
          <w:tcPr>
            <w:tcW w:w="576" w:type="dxa"/>
          </w:tcPr>
          <w:p w14:paraId="699B0AF1" w14:textId="6C1AF677" w:rsidR="000179B5" w:rsidRDefault="00E67C73" w:rsidP="000179B5">
            <w:pPr>
              <w:jc w:val="center"/>
            </w:pPr>
            <w:r>
              <w:t xml:space="preserve">2.1 </w:t>
            </w:r>
          </w:p>
        </w:tc>
        <w:tc>
          <w:tcPr>
            <w:tcW w:w="5040" w:type="dxa"/>
          </w:tcPr>
          <w:p w14:paraId="53AF0C37" w14:textId="08369554" w:rsidR="00E67C73" w:rsidRDefault="00E67C73" w:rsidP="00E67C73">
            <w:r>
              <w:t>Laiem sõnastus kui direktiivis. Direktiivi artiklist 19 tulenev kohaldamisala on selgelt</w:t>
            </w:r>
          </w:p>
          <w:p w14:paraId="7BFF9D0F" w14:textId="3236A324" w:rsidR="000179B5" w:rsidRDefault="00E67C73" w:rsidP="000179B5">
            <w:r>
              <w:t xml:space="preserve">piiritletud andmebaasidega, mida kasutatakse tarbija krediidivõimelisuse hindamiseks tarbijakrediidilepingu kontekstis. Eelnõu kohaldab </w:t>
            </w:r>
            <w:r>
              <w:lastRenderedPageBreak/>
              <w:t>uusi kohustusi: „registri pidajale, mis sisaldab käesoleva seaduse §-s 10 sätestatud võlasuhte rikkumisega seotud andmeid või muud sarnast tarbija krediidivõimelisuse hindamiseks kasutatavat teavet, sealhulgas tarbija tulevase maksekäitumise tõenäosuse väärtust (krediidiskoori). “ Sõnastus erineb direktiivi sõnastustest, st tegemist on määratlemata õigusmõistega, mis võimaldab regulatsiooni kohaldada ulatuses, mis ületab direktiivist tulenevad piirid. Selline sõnastus toob kaasa olukorra, kus IKS § 10</w:t>
            </w:r>
            <w:r>
              <w:rPr>
                <w:vertAlign w:val="superscript"/>
              </w:rPr>
              <w:t>1</w:t>
            </w:r>
            <w:r>
              <w:t xml:space="preserve"> lg 1 kohaldatakse ka andmekogudele, mis ei ole direktiivi artikli 19 tähenduses andmebaasid, vaid mida kasutatakse laiemalt majandusliku tausta hindamiseks või muudes õigussuhetes. Seega tegemist oleks direktiivist tulenevast kohustusest laiemate nõuete kehtestamisega ilma normatiivse aluseta.</w:t>
            </w:r>
          </w:p>
        </w:tc>
        <w:tc>
          <w:tcPr>
            <w:tcW w:w="5016" w:type="dxa"/>
          </w:tcPr>
          <w:p w14:paraId="5CDC3FC8" w14:textId="45A20B02" w:rsidR="000179B5" w:rsidRDefault="667F3149" w:rsidP="4DC6FE60">
            <w:pPr>
              <w:ind w:left="-5"/>
              <w:rPr>
                <w:rFonts w:eastAsia="Times New Roman"/>
                <w:color w:val="000000" w:themeColor="text1"/>
              </w:rPr>
            </w:pPr>
            <w:r w:rsidRPr="4DC6FE60">
              <w:rPr>
                <w:rFonts w:eastAsia="Times New Roman"/>
                <w:b/>
                <w:bCs/>
                <w:color w:val="000000" w:themeColor="text1"/>
              </w:rPr>
              <w:lastRenderedPageBreak/>
              <w:t>M</w:t>
            </w:r>
            <w:r w:rsidR="0F4245D4" w:rsidRPr="4DC6FE60">
              <w:rPr>
                <w:rFonts w:eastAsia="Times New Roman"/>
                <w:b/>
                <w:bCs/>
                <w:color w:val="000000" w:themeColor="text1"/>
              </w:rPr>
              <w:t>ittearvestatud / selgitatud.</w:t>
            </w:r>
          </w:p>
          <w:p w14:paraId="32399B31" w14:textId="73985D83" w:rsidR="000179B5" w:rsidRDefault="0F4245D4" w:rsidP="4DC6FE60">
            <w:pPr>
              <w:ind w:left="-5"/>
              <w:rPr>
                <w:rFonts w:eastAsia="Times New Roman"/>
                <w:color w:val="000000" w:themeColor="text1"/>
              </w:rPr>
            </w:pPr>
            <w:r w:rsidRPr="4DC6FE60">
              <w:rPr>
                <w:rFonts w:eastAsia="Times New Roman"/>
                <w:color w:val="000000" w:themeColor="text1"/>
              </w:rPr>
              <w:t xml:space="preserve">Lõike 1 täiendused on selgitava iseloomuga. Nende mõte on tagada, et regulatsioon oleks 1) arusaadav 2) piiritletud selliselt, et see vastaks direktiivi eesmärgile hõlmata just </w:t>
            </w:r>
            <w:r w:rsidRPr="4DC6FE60">
              <w:rPr>
                <w:rFonts w:eastAsia="Times New Roman"/>
                <w:color w:val="000000" w:themeColor="text1"/>
              </w:rPr>
              <w:lastRenderedPageBreak/>
              <w:t xml:space="preserve">krediidiregistrid, mitte mis tahes andmekogud, kust võiks tarbijate krediidivõime hindamiseks materjale saada. Ilma sellise täienduseta ei oleks lõike 1 sõnastus Justiits- ja Digiministeeriumi hinnangul piisavalt selgelt määratletud. Need selgitused ja põhjendused on esitatud ka eelnõu seletuskirjas. </w:t>
            </w:r>
            <w:r w:rsidR="7EBB72F0" w:rsidRPr="4DC6FE60">
              <w:rPr>
                <w:rFonts w:eastAsia="Times New Roman"/>
                <w:color w:val="000000" w:themeColor="text1"/>
              </w:rPr>
              <w:t xml:space="preserve"> </w:t>
            </w:r>
            <w:r w:rsidRPr="4DC6FE60">
              <w:rPr>
                <w:rFonts w:eastAsia="Times New Roman"/>
                <w:color w:val="000000" w:themeColor="text1"/>
              </w:rPr>
              <w:t xml:space="preserve">Seega lõike 1 regulatsiooni mõte on just </w:t>
            </w:r>
            <w:proofErr w:type="spellStart"/>
            <w:r w:rsidRPr="4DC6FE60">
              <w:rPr>
                <w:rFonts w:eastAsia="Times New Roman"/>
                <w:color w:val="000000" w:themeColor="text1"/>
              </w:rPr>
              <w:t>IKS-i</w:t>
            </w:r>
            <w:proofErr w:type="spellEnd"/>
            <w:r w:rsidRPr="4DC6FE60">
              <w:rPr>
                <w:rFonts w:eastAsia="Times New Roman"/>
                <w:color w:val="000000" w:themeColor="text1"/>
              </w:rPr>
              <w:t xml:space="preserve"> lisatava uue § 10</w:t>
            </w:r>
            <w:r w:rsidRPr="4DC6FE60">
              <w:rPr>
                <w:rFonts w:eastAsia="Times New Roman"/>
                <w:color w:val="000000" w:themeColor="text1"/>
                <w:vertAlign w:val="superscript"/>
              </w:rPr>
              <w:t>1</w:t>
            </w:r>
            <w:r w:rsidRPr="4DC6FE60">
              <w:rPr>
                <w:rFonts w:eastAsia="Times New Roman"/>
                <w:color w:val="000000" w:themeColor="text1"/>
              </w:rPr>
              <w:t xml:space="preserve"> kohaldamisala piiritlemine. </w:t>
            </w:r>
            <w:r w:rsidR="57784D7A" w:rsidRPr="4DC6FE60">
              <w:rPr>
                <w:rFonts w:eastAsia="Times New Roman"/>
                <w:color w:val="000000" w:themeColor="text1"/>
              </w:rPr>
              <w:t xml:space="preserve">Siin ei ole direktiivist tulenevat regulatsiooni kuidagi riigisiseselt laiendatud. </w:t>
            </w:r>
          </w:p>
          <w:p w14:paraId="18393CAA" w14:textId="5250220B" w:rsidR="000179B5" w:rsidRDefault="000179B5" w:rsidP="4DC6FE60">
            <w:pPr>
              <w:ind w:left="-5"/>
              <w:rPr>
                <w:rFonts w:eastAsia="Times New Roman"/>
                <w:color w:val="000000" w:themeColor="text1"/>
              </w:rPr>
            </w:pPr>
          </w:p>
        </w:tc>
      </w:tr>
      <w:tr w:rsidR="00D22FD2" w14:paraId="6AF7E1F2" w14:textId="77777777" w:rsidTr="00617FBE">
        <w:tc>
          <w:tcPr>
            <w:tcW w:w="576" w:type="dxa"/>
          </w:tcPr>
          <w:p w14:paraId="310B945C" w14:textId="616E19A8" w:rsidR="000179B5" w:rsidRDefault="00E67C73" w:rsidP="000179B5">
            <w:pPr>
              <w:jc w:val="center"/>
            </w:pPr>
            <w:r>
              <w:lastRenderedPageBreak/>
              <w:t xml:space="preserve">2.2 </w:t>
            </w:r>
          </w:p>
        </w:tc>
        <w:tc>
          <w:tcPr>
            <w:tcW w:w="5040" w:type="dxa"/>
          </w:tcPr>
          <w:p w14:paraId="668DEB55" w14:textId="738DCF68" w:rsidR="00E67C73" w:rsidRDefault="00E67C73" w:rsidP="00E67C73">
            <w:r>
              <w:t>Vastuolu õigusselguse põhimõttega. Õigusselguse põhimõttest tuleneval peab regulatsiooni</w:t>
            </w:r>
            <w:r w:rsidR="00281C8D">
              <w:t xml:space="preserve"> </w:t>
            </w:r>
            <w:r>
              <w:t>kohaldamisala olema üheselt määratletud. Eelnõu sõnastus „muu sarnane teave“ ei sisalda</w:t>
            </w:r>
            <w:r w:rsidR="00281C8D">
              <w:t xml:space="preserve"> </w:t>
            </w:r>
            <w:r>
              <w:t>objektiivseid ega kontrollitavaid kriteeriume, mille alusel oleks võimalik üheselt tuvastada,</w:t>
            </w:r>
          </w:p>
          <w:p w14:paraId="5ABEC22E" w14:textId="657D103B" w:rsidR="00E67C73" w:rsidRDefault="00E67C73" w:rsidP="00E67C73">
            <w:r>
              <w:t>millised andmekogud kuuluvad sätte kohaldamisalasse ja millised mitte. Seega eelnõu sõnastus</w:t>
            </w:r>
            <w:r w:rsidR="00281C8D">
              <w:t xml:space="preserve"> </w:t>
            </w:r>
            <w:r>
              <w:t>ei taga piisavat etteaimatavust registripidajatele ega võimalda selgelt hinnata regulatsiooni</w:t>
            </w:r>
            <w:r w:rsidR="00281C8D">
              <w:t xml:space="preserve"> </w:t>
            </w:r>
            <w:r>
              <w:t>ulatust.</w:t>
            </w:r>
          </w:p>
          <w:p w14:paraId="24476850" w14:textId="3FEF28C1" w:rsidR="000179B5" w:rsidRDefault="00E67C73" w:rsidP="000179B5">
            <w:r>
              <w:t>Direktiivi eesmärk ei ole reguleerida mis tahes andmeid või ka mis tahes andmekogusid, mis</w:t>
            </w:r>
            <w:r w:rsidR="00281C8D">
              <w:t xml:space="preserve"> </w:t>
            </w:r>
            <w:r>
              <w:t>võivad sisaldada majanduslikku või maksekäitumist puudutavat teavet, vaid spetsiifiliselt</w:t>
            </w:r>
            <w:r w:rsidR="00281C8D">
              <w:t xml:space="preserve"> </w:t>
            </w:r>
            <w:r>
              <w:t>krediidivõimelisuse hindamiseks kasutatavaid krediidiandmebaase. Seega eelnõu IKS § 10</w:t>
            </w:r>
            <w:r w:rsidR="00281C8D">
              <w:rPr>
                <w:vertAlign w:val="superscript"/>
              </w:rPr>
              <w:t>1</w:t>
            </w:r>
            <w:r>
              <w:t xml:space="preserve"> lg1 sõnastus ei ole kooskõlas direktiivi sõnastuse/terminiga ning viib andmete töötlemise</w:t>
            </w:r>
            <w:r w:rsidR="00281C8D">
              <w:t xml:space="preserve"> </w:t>
            </w:r>
            <w:r>
              <w:t>ebaselge ulatusega reguleerimiseni, mida ei pruugi isegi direktiivi viidatud andmebaasis olla.</w:t>
            </w:r>
            <w:r w:rsidR="00281C8D">
              <w:t xml:space="preserve"> </w:t>
            </w:r>
            <w:r>
              <w:t>See ei ole aga direktiivi eesmärk</w:t>
            </w:r>
          </w:p>
        </w:tc>
        <w:tc>
          <w:tcPr>
            <w:tcW w:w="5016" w:type="dxa"/>
          </w:tcPr>
          <w:p w14:paraId="01E80C9B" w14:textId="0B979889" w:rsidR="000179B5" w:rsidRDefault="34304388" w:rsidP="4DC6FE60">
            <w:pPr>
              <w:ind w:left="-5"/>
              <w:rPr>
                <w:rFonts w:eastAsia="Times New Roman"/>
                <w:color w:val="000000" w:themeColor="text1"/>
              </w:rPr>
            </w:pPr>
            <w:r w:rsidRPr="4DC6FE60">
              <w:rPr>
                <w:rFonts w:eastAsia="Times New Roman"/>
                <w:b/>
                <w:bCs/>
                <w:color w:val="000000" w:themeColor="text1"/>
              </w:rPr>
              <w:t>Selgitatud</w:t>
            </w:r>
            <w:r w:rsidRPr="4DC6FE60">
              <w:rPr>
                <w:rFonts w:eastAsia="Times New Roman"/>
                <w:color w:val="000000" w:themeColor="text1"/>
              </w:rPr>
              <w:t>.</w:t>
            </w:r>
          </w:p>
          <w:p w14:paraId="6E3971F8" w14:textId="3A0A603E" w:rsidR="000179B5" w:rsidRDefault="303604D5" w:rsidP="4DC6FE60">
            <w:pPr>
              <w:ind w:left="-5"/>
              <w:rPr>
                <w:rFonts w:eastAsia="Times New Roman"/>
                <w:color w:val="000000" w:themeColor="text1"/>
              </w:rPr>
            </w:pPr>
            <w:r w:rsidRPr="4DC6FE60">
              <w:rPr>
                <w:rFonts w:eastAsia="Times New Roman"/>
                <w:color w:val="000000" w:themeColor="text1"/>
              </w:rPr>
              <w:t xml:space="preserve">Viide </w:t>
            </w:r>
            <w:r w:rsidRPr="4DC6FE60">
              <w:rPr>
                <w:rFonts w:eastAsia="Times New Roman"/>
                <w:i/>
                <w:iCs/>
                <w:color w:val="000000" w:themeColor="text1"/>
              </w:rPr>
              <w:t>muule sarnasele tarbija krediidivõimelisuse hindamiseks kasutatavale teabele</w:t>
            </w:r>
            <w:r w:rsidRPr="4DC6FE60">
              <w:rPr>
                <w:rFonts w:eastAsia="Times New Roman"/>
                <w:color w:val="000000" w:themeColor="text1"/>
              </w:rPr>
              <w:t xml:space="preserve"> hõlmab tulevikus positiivset </w:t>
            </w:r>
            <w:proofErr w:type="spellStart"/>
            <w:r w:rsidRPr="4DC6FE60">
              <w:rPr>
                <w:rFonts w:eastAsia="Times New Roman"/>
                <w:color w:val="000000" w:themeColor="text1"/>
              </w:rPr>
              <w:t>krediidiinfot</w:t>
            </w:r>
            <w:proofErr w:type="spellEnd"/>
            <w:r w:rsidRPr="4DC6FE60">
              <w:rPr>
                <w:rFonts w:eastAsia="Times New Roman"/>
                <w:color w:val="000000" w:themeColor="text1"/>
              </w:rPr>
              <w:t xml:space="preserve"> ning ühe eraldi mainitud näitena krediidiskoore. Seda, miks on vajalik selgelt ära tuua, et reguleerimisalasse on hõlmatud negatiivne ja positiivne </w:t>
            </w:r>
            <w:proofErr w:type="spellStart"/>
            <w:r w:rsidRPr="4DC6FE60">
              <w:rPr>
                <w:rFonts w:eastAsia="Times New Roman"/>
                <w:color w:val="000000" w:themeColor="text1"/>
              </w:rPr>
              <w:t>krediidiinfo</w:t>
            </w:r>
            <w:proofErr w:type="spellEnd"/>
            <w:r w:rsidRPr="4DC6FE60">
              <w:rPr>
                <w:rFonts w:eastAsia="Times New Roman"/>
                <w:color w:val="000000" w:themeColor="text1"/>
              </w:rPr>
              <w:t xml:space="preserve"> ning ka krediidiskoorid, on samuti põhjendatud seletuskirjas (ja ka allpool toodud märkuse vastuses). </w:t>
            </w:r>
          </w:p>
          <w:p w14:paraId="7BE21E47" w14:textId="3D0E8936" w:rsidR="000179B5" w:rsidRDefault="000179B5" w:rsidP="4DC6FE60">
            <w:pPr>
              <w:ind w:left="-5"/>
              <w:rPr>
                <w:rFonts w:eastAsia="Times New Roman"/>
                <w:color w:val="000000" w:themeColor="text1"/>
              </w:rPr>
            </w:pPr>
          </w:p>
          <w:p w14:paraId="25B59BF4" w14:textId="4ABC4CE0" w:rsidR="000179B5" w:rsidRDefault="303604D5" w:rsidP="4DC6FE60">
            <w:pPr>
              <w:ind w:left="-5"/>
              <w:rPr>
                <w:rFonts w:eastAsia="Times New Roman"/>
                <w:color w:val="000000" w:themeColor="text1"/>
              </w:rPr>
            </w:pPr>
            <w:r w:rsidRPr="4DC6FE60">
              <w:rPr>
                <w:rFonts w:eastAsia="Times New Roman"/>
                <w:color w:val="000000" w:themeColor="text1"/>
              </w:rPr>
              <w:t xml:space="preserve">Kuna positiivset </w:t>
            </w:r>
            <w:proofErr w:type="spellStart"/>
            <w:r w:rsidRPr="4DC6FE60">
              <w:rPr>
                <w:rFonts w:eastAsia="Times New Roman"/>
                <w:color w:val="000000" w:themeColor="text1"/>
              </w:rPr>
              <w:t>krediidiinfot</w:t>
            </w:r>
            <w:proofErr w:type="spellEnd"/>
            <w:r w:rsidRPr="4DC6FE60">
              <w:rPr>
                <w:rFonts w:eastAsia="Times New Roman"/>
                <w:color w:val="000000" w:themeColor="text1"/>
              </w:rPr>
              <w:t xml:space="preserve"> </w:t>
            </w:r>
            <w:r w:rsidRPr="7C3CE6FA">
              <w:rPr>
                <w:rFonts w:eastAsia="Times New Roman"/>
                <w:color w:val="000000" w:themeColor="text1"/>
              </w:rPr>
              <w:t>sisaldava</w:t>
            </w:r>
            <w:r w:rsidR="01EA614F" w:rsidRPr="7C3CE6FA">
              <w:rPr>
                <w:rFonts w:eastAsia="Times New Roman"/>
                <w:color w:val="000000" w:themeColor="text1"/>
              </w:rPr>
              <w:t>t</w:t>
            </w:r>
            <w:r w:rsidRPr="4DC6FE60">
              <w:rPr>
                <w:rFonts w:eastAsia="Times New Roman"/>
                <w:color w:val="000000" w:themeColor="text1"/>
              </w:rPr>
              <w:t xml:space="preserve"> registrit eelnõu koostamise ajal veel ei ole ning krediidiskoor on teisalt jällegi hetkel praktikas kasutatav näitaja, kuid ei ole välistatud, et tulevikus praktika muutub ja turule tekivad ka sarnased muud näitajad, siis on lõikesse 1 siiski soovitud jätta teatavat paindlikkust. Seda võimaldabki muule sarnasele krediidivõimelisuse hindamiseks kasutatavale teabele viitamine.</w:t>
            </w:r>
          </w:p>
          <w:p w14:paraId="11CF0627" w14:textId="41500E09" w:rsidR="000179B5" w:rsidRDefault="000179B5" w:rsidP="4DC6FE60">
            <w:pPr>
              <w:ind w:left="-5"/>
              <w:rPr>
                <w:rFonts w:eastAsia="Times New Roman"/>
                <w:color w:val="000000" w:themeColor="text1"/>
              </w:rPr>
            </w:pPr>
          </w:p>
          <w:p w14:paraId="62798533" w14:textId="0E6F5467" w:rsidR="000179B5" w:rsidRDefault="303604D5" w:rsidP="007661C3">
            <w:pPr>
              <w:ind w:left="-5"/>
            </w:pPr>
            <w:r w:rsidRPr="4DC6FE60">
              <w:rPr>
                <w:rFonts w:eastAsia="Times New Roman"/>
                <w:color w:val="000000" w:themeColor="text1"/>
              </w:rPr>
              <w:t xml:space="preserve">See, et seaduse tekst on taotluslikult jäetud üldisemaks, et tagada selle tulevikukindlus ja sobitumine võimalike erinevate üksikjuhtumite asjaoludega, on praktikas tavapärane. Eelnõu seletuskiri annab aga juhised selle rakendumisest eelnõu koostamise ajal </w:t>
            </w:r>
            <w:r w:rsidR="272D5DC7" w:rsidRPr="7C3CE6FA">
              <w:rPr>
                <w:rFonts w:eastAsia="Times New Roman"/>
                <w:color w:val="000000" w:themeColor="text1"/>
              </w:rPr>
              <w:t>silmas peetud olukordades</w:t>
            </w:r>
            <w:r w:rsidRPr="7C3CE6FA">
              <w:rPr>
                <w:rFonts w:eastAsia="Times New Roman"/>
                <w:color w:val="000000" w:themeColor="text1"/>
              </w:rPr>
              <w:t>.</w:t>
            </w:r>
          </w:p>
        </w:tc>
      </w:tr>
      <w:tr w:rsidR="00D22FD2" w14:paraId="5C30E3BB" w14:textId="77777777" w:rsidTr="00617FBE">
        <w:tc>
          <w:tcPr>
            <w:tcW w:w="576" w:type="dxa"/>
          </w:tcPr>
          <w:p w14:paraId="42A3FABF" w14:textId="57DB278F" w:rsidR="000179B5" w:rsidRDefault="002B0C0C" w:rsidP="000179B5">
            <w:pPr>
              <w:jc w:val="center"/>
            </w:pPr>
            <w:r>
              <w:t>3</w:t>
            </w:r>
          </w:p>
        </w:tc>
        <w:tc>
          <w:tcPr>
            <w:tcW w:w="5040" w:type="dxa"/>
          </w:tcPr>
          <w:p w14:paraId="27D758B7" w14:textId="7E6313AF" w:rsidR="000179B5" w:rsidRDefault="002B0C0C" w:rsidP="000179B5">
            <w:r>
              <w:t xml:space="preserve">Palume viia IKS eelnõu § </w:t>
            </w:r>
            <w:r w:rsidRPr="7C3CE6FA">
              <w:rPr>
                <w:rFonts w:eastAsia="Times New Roman"/>
                <w:color w:val="000000" w:themeColor="text1"/>
              </w:rPr>
              <w:t>10</w:t>
            </w:r>
            <w:r w:rsidRPr="7C3CE6FA">
              <w:rPr>
                <w:rFonts w:eastAsia="Times New Roman"/>
                <w:color w:val="000000" w:themeColor="text1"/>
                <w:vertAlign w:val="superscript"/>
              </w:rPr>
              <w:t>1</w:t>
            </w:r>
            <w:r>
              <w:t xml:space="preserve"> lg 2 sõnastus kooskõlla direktiivi artikkel 19 sõnastusega ning eemaldada registrite kohustus kontrollida, kas tarbijakrediiti pakkuv krediidiandja järgib </w:t>
            </w:r>
            <w:proofErr w:type="spellStart"/>
            <w:r>
              <w:t>IKÜMi</w:t>
            </w:r>
            <w:proofErr w:type="spellEnd"/>
            <w:r>
              <w:t xml:space="preserve"> nõudeid.</w:t>
            </w:r>
          </w:p>
        </w:tc>
        <w:tc>
          <w:tcPr>
            <w:tcW w:w="5016" w:type="dxa"/>
          </w:tcPr>
          <w:p w14:paraId="5BCF50C5" w14:textId="77777777" w:rsidR="00474866" w:rsidRPr="00171521" w:rsidRDefault="00474866" w:rsidP="00474866">
            <w:pPr>
              <w:ind w:left="-5"/>
              <w:rPr>
                <w:b/>
                <w:bCs/>
              </w:rPr>
            </w:pPr>
            <w:r w:rsidRPr="00171521">
              <w:rPr>
                <w:b/>
                <w:bCs/>
              </w:rPr>
              <w:t>Arvestatud.</w:t>
            </w:r>
          </w:p>
          <w:p w14:paraId="0B732A78" w14:textId="0CE9B52A" w:rsidR="000179B5" w:rsidRPr="00474866" w:rsidRDefault="00474866" w:rsidP="00474866">
            <w:pPr>
              <w:ind w:left="-5"/>
              <w:rPr>
                <w:rFonts w:eastAsia="Times New Roman"/>
                <w:b/>
                <w:bCs/>
                <w:color w:val="000000" w:themeColor="text1"/>
              </w:rPr>
            </w:pPr>
            <w:r w:rsidRPr="4DC6FE60">
              <w:rPr>
                <w:rFonts w:eastAsia="Times New Roman"/>
                <w:color w:val="000000" w:themeColor="text1"/>
              </w:rPr>
              <w:t>Eelnõu lõige 2 on täpses vastavuses direktiivi artikli 19 lõikega 2</w:t>
            </w:r>
            <w:r>
              <w:rPr>
                <w:rFonts w:eastAsia="Times New Roman"/>
                <w:color w:val="000000" w:themeColor="text1"/>
              </w:rPr>
              <w:t xml:space="preserve">, see ei välju direktiivi raamidest ning tuleb sellisel kujul üle võtta. Küll aga </w:t>
            </w:r>
            <w:r>
              <w:t xml:space="preserve">ei pea registripidaja teostama </w:t>
            </w:r>
            <w:r w:rsidRPr="00474866">
              <w:rPr>
                <w:b/>
                <w:bCs/>
              </w:rPr>
              <w:t>sisulist</w:t>
            </w:r>
            <w:r>
              <w:t xml:space="preserve"> kontrolli </w:t>
            </w:r>
            <w:r>
              <w:lastRenderedPageBreak/>
              <w:t xml:space="preserve">selle üle, kas ligipääsu taotlev krediidiandja andmekaitsealaseid nõudeid järgib või mitte. </w:t>
            </w:r>
            <w:r w:rsidR="703FA16B">
              <w:t>R</w:t>
            </w:r>
            <w:r>
              <w:t>egistripidajal</w:t>
            </w:r>
            <w:r w:rsidR="703FA16B">
              <w:t xml:space="preserve"> on</w:t>
            </w:r>
            <w:r>
              <w:t xml:space="preserve"> õigus lõpetada või peatada krediidiandja ligipääs registrile, kui Andmekaitse Inspektsioon keelab ettekirjutisega isikuandmete töötlemise või tuvastab raske rikkumise. Pikem selgitus vastava registrile ligipääsu saamise eelduse kohta on lisatud eelnõu seletuskirja.</w:t>
            </w:r>
          </w:p>
        </w:tc>
      </w:tr>
      <w:tr w:rsidR="00D22FD2" w14:paraId="54B19CB6" w14:textId="77777777" w:rsidTr="00617FBE">
        <w:tc>
          <w:tcPr>
            <w:tcW w:w="576" w:type="dxa"/>
          </w:tcPr>
          <w:p w14:paraId="5A9D683B" w14:textId="0D897783" w:rsidR="000179B5" w:rsidRDefault="00951933" w:rsidP="000179B5">
            <w:pPr>
              <w:jc w:val="center"/>
            </w:pPr>
            <w:r>
              <w:lastRenderedPageBreak/>
              <w:t>4</w:t>
            </w:r>
          </w:p>
        </w:tc>
        <w:tc>
          <w:tcPr>
            <w:tcW w:w="5040" w:type="dxa"/>
          </w:tcPr>
          <w:p w14:paraId="63B47D77" w14:textId="7F6A60CC" w:rsidR="000179B5" w:rsidRDefault="00951933" w:rsidP="000179B5">
            <w:r>
              <w:t xml:space="preserve">Palume viia IKS eelnõu § </w:t>
            </w:r>
            <w:r w:rsidRPr="7C3CE6FA">
              <w:rPr>
                <w:rFonts w:eastAsia="Times New Roman"/>
                <w:color w:val="000000" w:themeColor="text1"/>
              </w:rPr>
              <w:t>10</w:t>
            </w:r>
            <w:r w:rsidRPr="7C3CE6FA">
              <w:rPr>
                <w:rFonts w:eastAsia="Times New Roman"/>
                <w:color w:val="000000" w:themeColor="text1"/>
                <w:vertAlign w:val="superscript"/>
              </w:rPr>
              <w:t>1</w:t>
            </w:r>
            <w:r>
              <w:t xml:space="preserve"> lg 2 sõnastus kooskõlla direktiivi artikkel 19 sõnastusega ning eemaldada nõuded andmebaasis andmete koosseisule, mida direktiivi artikkel 19 lg 4 ette ei näe.</w:t>
            </w:r>
          </w:p>
        </w:tc>
        <w:tc>
          <w:tcPr>
            <w:tcW w:w="5016" w:type="dxa"/>
          </w:tcPr>
          <w:p w14:paraId="4A41617B" w14:textId="10A90639" w:rsidR="000179B5" w:rsidRDefault="357E2B99" w:rsidP="4DC6FE60">
            <w:pPr>
              <w:ind w:left="-5"/>
              <w:rPr>
                <w:rFonts w:eastAsia="Times New Roman"/>
                <w:color w:val="000000" w:themeColor="text1"/>
              </w:rPr>
            </w:pPr>
            <w:r w:rsidRPr="4DC6FE60">
              <w:rPr>
                <w:rFonts w:eastAsia="Times New Roman"/>
                <w:b/>
                <w:bCs/>
                <w:color w:val="000000" w:themeColor="text1"/>
              </w:rPr>
              <w:t>Arvestatud.</w:t>
            </w:r>
          </w:p>
          <w:p w14:paraId="1E3E3CDD" w14:textId="5C0068C7" w:rsidR="000179B5" w:rsidRDefault="357E2B99" w:rsidP="007661C3">
            <w:pPr>
              <w:ind w:left="-5"/>
              <w:rPr>
                <w:rFonts w:eastAsia="Times New Roman"/>
                <w:color w:val="000000" w:themeColor="text1"/>
              </w:rPr>
            </w:pPr>
            <w:r w:rsidRPr="4DC6FE60">
              <w:rPr>
                <w:rFonts w:eastAsia="Times New Roman"/>
                <w:color w:val="000000" w:themeColor="text1"/>
              </w:rPr>
              <w:t>Lõiget 4 on eelnõu kooskõlastamise käigus saadud tagasisidet arvestades muudetud, sealt on eemaldatud reegel põhi- ja kõrvalnõuete eristamise kohta.</w:t>
            </w:r>
            <w:r w:rsidR="005C3635">
              <w:rPr>
                <w:rFonts w:eastAsia="Times New Roman"/>
                <w:color w:val="000000" w:themeColor="text1"/>
              </w:rPr>
              <w:t xml:space="preserve"> Küll aga andmetöötlusel IKS § 10 alusel tuleb järgida AKI maksehäirete avaldamise juhist, sh eristama põhi- ja kõrvalnõudeid. </w:t>
            </w:r>
          </w:p>
        </w:tc>
      </w:tr>
      <w:tr w:rsidR="00D22FD2" w14:paraId="40E3C8E2" w14:textId="77777777" w:rsidTr="00617FBE">
        <w:tc>
          <w:tcPr>
            <w:tcW w:w="576" w:type="dxa"/>
          </w:tcPr>
          <w:p w14:paraId="3CD5D553" w14:textId="6DBA98E8" w:rsidR="000179B5" w:rsidRDefault="007B6D68" w:rsidP="007B6D68">
            <w:r>
              <w:t xml:space="preserve">4.1 </w:t>
            </w:r>
          </w:p>
        </w:tc>
        <w:tc>
          <w:tcPr>
            <w:tcW w:w="5040" w:type="dxa"/>
          </w:tcPr>
          <w:p w14:paraId="72659782" w14:textId="71C955A8" w:rsidR="000179B5" w:rsidRDefault="00951933" w:rsidP="000179B5">
            <w:r>
              <w:t>Esiteks, OÜ Krediidiregister kordab, direktiivi ei sisalda terminit/mõistet „register“ vaid sisaldab terminit „andmebaas“. Esmalt tuleb eelnõu teksti korrigeerida ja kasutada läbivalt direktiiviga ühtseid termineid. Eelnõu kohaselt peab register sisaldama muuhulgas krediidiandja nime. Andmebaasi sisestatud võlainfo/maksehäire võib lisaks krediidiandjale olla sisestatud ka nõude loovutamise korral uue võlausaldaja poolt, st uus võlausaldaja ei saa kasutada võlainfo/maksehäire sisestamisel esialgse võlausaldaja/krediidiandja ärinime</w:t>
            </w:r>
            <w:r w:rsidR="00DD2433">
              <w:t>.</w:t>
            </w:r>
          </w:p>
        </w:tc>
        <w:tc>
          <w:tcPr>
            <w:tcW w:w="5016" w:type="dxa"/>
          </w:tcPr>
          <w:p w14:paraId="3622FC92" w14:textId="54C62B09" w:rsidR="000179B5" w:rsidRDefault="1483E268" w:rsidP="4DC6FE60">
            <w:r w:rsidRPr="4DC6FE60">
              <w:rPr>
                <w:b/>
                <w:bCs/>
              </w:rPr>
              <w:t>Selgitatud</w:t>
            </w:r>
            <w:r>
              <w:t>.</w:t>
            </w:r>
          </w:p>
          <w:p w14:paraId="00126BC3" w14:textId="0B1FD322" w:rsidR="000179B5" w:rsidRDefault="03AF7315" w:rsidP="4DC6FE60">
            <w:r>
              <w:t>Eelnõu terminoloogilisi valikuid on selgitatud juba eespool.</w:t>
            </w:r>
          </w:p>
          <w:p w14:paraId="3E724592" w14:textId="63995DC7" w:rsidR="000179B5" w:rsidRDefault="35C79DC5" w:rsidP="4DC6FE60">
            <w:pPr>
              <w:rPr>
                <w:rFonts w:eastAsia="Times New Roman"/>
                <w:color w:val="000000" w:themeColor="text1"/>
              </w:rPr>
            </w:pPr>
            <w:r w:rsidRPr="4DC6FE60">
              <w:rPr>
                <w:rFonts w:eastAsia="Times New Roman"/>
                <w:color w:val="000000" w:themeColor="text1"/>
              </w:rPr>
              <w:t>Küsimus sellest, kui palju andmeid peab registris minimaalselt nähtuma, on otsustatud juba direktiivi kehtestamisel Euroopa Liidu seadusandja poolt ära. Riigisiseselt ei ole võimalik seda muuta</w:t>
            </w:r>
            <w:r w:rsidR="792BF2A3" w:rsidRPr="76912046">
              <w:rPr>
                <w:rFonts w:eastAsia="Times New Roman"/>
                <w:color w:val="000000" w:themeColor="text1"/>
              </w:rPr>
              <w:t>, sh on ära</w:t>
            </w:r>
            <w:r w:rsidR="792BF2A3" w:rsidRPr="19BF802B">
              <w:rPr>
                <w:rFonts w:eastAsia="Times New Roman"/>
                <w:color w:val="000000" w:themeColor="text1"/>
              </w:rPr>
              <w:t xml:space="preserve"> otsustatud see, et </w:t>
            </w:r>
            <w:r w:rsidR="792BF2A3" w:rsidRPr="100A3B9D">
              <w:rPr>
                <w:rFonts w:eastAsia="Times New Roman"/>
                <w:color w:val="000000" w:themeColor="text1"/>
              </w:rPr>
              <w:t>registrist</w:t>
            </w:r>
            <w:r w:rsidR="792BF2A3" w:rsidRPr="19BF802B">
              <w:rPr>
                <w:rFonts w:eastAsia="Times New Roman"/>
                <w:color w:val="000000" w:themeColor="text1"/>
              </w:rPr>
              <w:t xml:space="preserve"> peab </w:t>
            </w:r>
            <w:r w:rsidR="792BF2A3" w:rsidRPr="100A3B9D">
              <w:rPr>
                <w:rFonts w:eastAsia="Times New Roman"/>
                <w:color w:val="000000" w:themeColor="text1"/>
              </w:rPr>
              <w:t>nähtuma krediidiandja nimi</w:t>
            </w:r>
            <w:r w:rsidR="792BF2A3" w:rsidRPr="69010BFC">
              <w:rPr>
                <w:rFonts w:eastAsia="Times New Roman"/>
                <w:color w:val="000000" w:themeColor="text1"/>
              </w:rPr>
              <w:t xml:space="preserve"> </w:t>
            </w:r>
            <w:r w:rsidR="792BF2A3" w:rsidRPr="1D569519">
              <w:rPr>
                <w:rFonts w:eastAsia="Times New Roman"/>
                <w:color w:val="000000" w:themeColor="text1"/>
              </w:rPr>
              <w:t>(ing</w:t>
            </w:r>
            <w:r w:rsidR="675B9105" w:rsidRPr="1D569519">
              <w:rPr>
                <w:rFonts w:eastAsia="Times New Roman"/>
                <w:color w:val="000000" w:themeColor="text1"/>
              </w:rPr>
              <w:t xml:space="preserve">lise keeles </w:t>
            </w:r>
            <w:proofErr w:type="spellStart"/>
            <w:r w:rsidR="675B9105" w:rsidRPr="57B35FFD">
              <w:rPr>
                <w:rFonts w:eastAsia="Times New Roman"/>
                <w:i/>
                <w:color w:val="000000" w:themeColor="text1"/>
              </w:rPr>
              <w:t>identity</w:t>
            </w:r>
            <w:proofErr w:type="spellEnd"/>
            <w:r w:rsidR="675B9105" w:rsidRPr="57B35FFD">
              <w:rPr>
                <w:rFonts w:eastAsia="Times New Roman"/>
                <w:i/>
                <w:color w:val="000000" w:themeColor="text1"/>
              </w:rPr>
              <w:t xml:space="preserve"> of </w:t>
            </w:r>
            <w:proofErr w:type="spellStart"/>
            <w:r w:rsidR="675B9105" w:rsidRPr="57B35FFD">
              <w:rPr>
                <w:rFonts w:eastAsia="Times New Roman"/>
                <w:i/>
                <w:color w:val="000000" w:themeColor="text1"/>
              </w:rPr>
              <w:t>the</w:t>
            </w:r>
            <w:proofErr w:type="spellEnd"/>
            <w:r w:rsidR="675B9105" w:rsidRPr="57B35FFD">
              <w:rPr>
                <w:rFonts w:eastAsia="Times New Roman"/>
                <w:i/>
                <w:color w:val="000000" w:themeColor="text1"/>
              </w:rPr>
              <w:t xml:space="preserve"> </w:t>
            </w:r>
            <w:proofErr w:type="spellStart"/>
            <w:r w:rsidR="675B9105" w:rsidRPr="57B35FFD">
              <w:rPr>
                <w:rFonts w:eastAsia="Times New Roman"/>
                <w:i/>
                <w:color w:val="000000" w:themeColor="text1"/>
              </w:rPr>
              <w:t>creditor</w:t>
            </w:r>
            <w:proofErr w:type="spellEnd"/>
            <w:r w:rsidR="675B9105" w:rsidRPr="70F25C01">
              <w:rPr>
                <w:rFonts w:eastAsia="Times New Roman"/>
                <w:color w:val="000000" w:themeColor="text1"/>
              </w:rPr>
              <w:t xml:space="preserve">, saksa keeles </w:t>
            </w:r>
            <w:proofErr w:type="spellStart"/>
            <w:r w:rsidR="675B9105" w:rsidRPr="638455F8">
              <w:rPr>
                <w:rFonts w:eastAsia="Times New Roman"/>
                <w:i/>
                <w:color w:val="000000" w:themeColor="text1"/>
              </w:rPr>
              <w:t>Identität</w:t>
            </w:r>
            <w:proofErr w:type="spellEnd"/>
            <w:r w:rsidR="675B9105" w:rsidRPr="638455F8">
              <w:rPr>
                <w:rFonts w:eastAsia="Times New Roman"/>
                <w:i/>
                <w:color w:val="000000" w:themeColor="text1"/>
              </w:rPr>
              <w:t xml:space="preserve"> des </w:t>
            </w:r>
            <w:proofErr w:type="spellStart"/>
            <w:r w:rsidR="675B9105" w:rsidRPr="638455F8">
              <w:rPr>
                <w:rFonts w:eastAsia="Times New Roman"/>
                <w:i/>
                <w:color w:val="000000" w:themeColor="text1"/>
              </w:rPr>
              <w:t>Kreditgebers</w:t>
            </w:r>
            <w:proofErr w:type="spellEnd"/>
            <w:r w:rsidR="675B9105" w:rsidRPr="19245B25">
              <w:rPr>
                <w:rFonts w:eastAsia="Times New Roman"/>
                <w:color w:val="000000" w:themeColor="text1"/>
              </w:rPr>
              <w:t>)</w:t>
            </w:r>
            <w:r w:rsidRPr="19245B25">
              <w:rPr>
                <w:rFonts w:eastAsia="Times New Roman"/>
                <w:color w:val="000000" w:themeColor="text1"/>
              </w:rPr>
              <w:t>.</w:t>
            </w:r>
            <w:r w:rsidRPr="4DC6FE60">
              <w:rPr>
                <w:rFonts w:eastAsia="Times New Roman"/>
                <w:color w:val="000000" w:themeColor="text1"/>
              </w:rPr>
              <w:t xml:space="preserve"> </w:t>
            </w:r>
            <w:r w:rsidR="5F9BC4B9" w:rsidRPr="4D7F2EDC">
              <w:rPr>
                <w:rFonts w:eastAsia="Times New Roman"/>
                <w:color w:val="000000" w:themeColor="text1"/>
              </w:rPr>
              <w:t xml:space="preserve">Seega grammatiliselt direktiivi järgides tuleb </w:t>
            </w:r>
            <w:r w:rsidR="5F9BC4B9" w:rsidRPr="18FAF0A7">
              <w:rPr>
                <w:rFonts w:eastAsia="Times New Roman"/>
                <w:color w:val="000000" w:themeColor="text1"/>
              </w:rPr>
              <w:t>regist</w:t>
            </w:r>
            <w:r w:rsidR="24DD947D" w:rsidRPr="18FAF0A7">
              <w:rPr>
                <w:rFonts w:eastAsia="Times New Roman"/>
                <w:color w:val="000000" w:themeColor="text1"/>
              </w:rPr>
              <w:t>r</w:t>
            </w:r>
            <w:r w:rsidR="5F9BC4B9" w:rsidRPr="18FAF0A7">
              <w:rPr>
                <w:rFonts w:eastAsia="Times New Roman"/>
                <w:color w:val="000000" w:themeColor="text1"/>
              </w:rPr>
              <w:t>isse</w:t>
            </w:r>
            <w:r w:rsidR="5F9BC4B9" w:rsidRPr="4D7F2EDC">
              <w:rPr>
                <w:rFonts w:eastAsia="Times New Roman"/>
                <w:color w:val="000000" w:themeColor="text1"/>
              </w:rPr>
              <w:t xml:space="preserve"> lisada vähemalt krediidiandja nimi. </w:t>
            </w:r>
            <w:r w:rsidRPr="4D7F2EDC">
              <w:rPr>
                <w:rFonts w:eastAsia="Times New Roman"/>
                <w:color w:val="000000" w:themeColor="text1"/>
              </w:rPr>
              <w:t xml:space="preserve"> </w:t>
            </w:r>
            <w:r w:rsidR="0A10F225" w:rsidRPr="7EA06756">
              <w:rPr>
                <w:rFonts w:eastAsia="Times New Roman"/>
                <w:color w:val="000000" w:themeColor="text1"/>
              </w:rPr>
              <w:t>Kui n</w:t>
            </w:r>
            <w:r w:rsidRPr="107FEB94">
              <w:rPr>
                <w:rFonts w:eastAsia="Times New Roman"/>
                <w:color w:val="000000" w:themeColor="text1"/>
              </w:rPr>
              <w:t xml:space="preserve">õue </w:t>
            </w:r>
            <w:r w:rsidR="65BBBC45" w:rsidRPr="107FEB94">
              <w:rPr>
                <w:rFonts w:eastAsia="Times New Roman"/>
                <w:color w:val="000000" w:themeColor="text1"/>
              </w:rPr>
              <w:t xml:space="preserve">on </w:t>
            </w:r>
            <w:r w:rsidRPr="107FEB94">
              <w:rPr>
                <w:rFonts w:eastAsia="Times New Roman"/>
                <w:color w:val="000000" w:themeColor="text1"/>
              </w:rPr>
              <w:t>loovuta</w:t>
            </w:r>
            <w:r w:rsidR="2736B2EC" w:rsidRPr="107FEB94">
              <w:rPr>
                <w:rFonts w:eastAsia="Times New Roman"/>
                <w:color w:val="000000" w:themeColor="text1"/>
              </w:rPr>
              <w:t xml:space="preserve">tud, võib lisada ka uue sissenõudja nime. </w:t>
            </w:r>
          </w:p>
        </w:tc>
      </w:tr>
      <w:tr w:rsidR="00D22FD2" w14:paraId="3CD68180" w14:textId="77777777" w:rsidTr="00617FBE">
        <w:tc>
          <w:tcPr>
            <w:tcW w:w="576" w:type="dxa"/>
          </w:tcPr>
          <w:p w14:paraId="7D9E4D94" w14:textId="2A88DE97" w:rsidR="000179B5" w:rsidRDefault="007B6D68" w:rsidP="000179B5">
            <w:pPr>
              <w:jc w:val="center"/>
            </w:pPr>
            <w:r>
              <w:t>4.2</w:t>
            </w:r>
            <w:r w:rsidR="00DD2433">
              <w:t xml:space="preserve"> </w:t>
            </w:r>
          </w:p>
        </w:tc>
        <w:tc>
          <w:tcPr>
            <w:tcW w:w="5040" w:type="dxa"/>
          </w:tcPr>
          <w:p w14:paraId="73B99D60" w14:textId="05ED7F57" w:rsidR="00DD2433" w:rsidRDefault="00DD2433" w:rsidP="00DD2433">
            <w:r>
              <w:t xml:space="preserve">Teiseks, mis konkreetse normi juures peamine, OÜ Krediidiregister juhib tähelepanu direktiivi art 19 </w:t>
            </w:r>
            <w:proofErr w:type="spellStart"/>
            <w:r>
              <w:t>lg-le</w:t>
            </w:r>
            <w:proofErr w:type="spellEnd"/>
            <w:r>
              <w:t xml:space="preserve"> 4, ei kohusta muutma olemasolevaid andmestruktuure ega kohusta avaldama konkreetset andmekoosseisuna põhisumma ja kõrvalnõuete eristamist. Direktiivist tuleneb vaid, et andmebaasis peab olema info a) tarbijate võlgnevuste kohta krediidi tagasimaksmisel ning b) krediidi liik ja c) krediidiandja nimi. Seega eelnõuga ei ole põhjendatud panna kohustust andmebaasi haldajale andmesüsteemi ümberkujundamiseks ulatuses, mis ületab</w:t>
            </w:r>
          </w:p>
          <w:p w14:paraId="3D1331E8" w14:textId="033AD898" w:rsidR="000179B5" w:rsidRDefault="00DD2433" w:rsidP="000179B5">
            <w:r>
              <w:t>direktiivis sätestatud piire.</w:t>
            </w:r>
          </w:p>
        </w:tc>
        <w:tc>
          <w:tcPr>
            <w:tcW w:w="5016" w:type="dxa"/>
          </w:tcPr>
          <w:p w14:paraId="7297AFEC" w14:textId="48E584EE" w:rsidR="000179B5" w:rsidRDefault="16A732B2" w:rsidP="4DC6FE60">
            <w:r w:rsidRPr="4DC6FE60">
              <w:rPr>
                <w:b/>
                <w:bCs/>
              </w:rPr>
              <w:t>Arvestatud</w:t>
            </w:r>
            <w:r>
              <w:t xml:space="preserve">. </w:t>
            </w:r>
          </w:p>
          <w:p w14:paraId="246E76F6" w14:textId="51EF7BD8" w:rsidR="000179B5" w:rsidRDefault="16A732B2" w:rsidP="4DC6FE60">
            <w:pPr>
              <w:rPr>
                <w:b/>
                <w:bCs/>
              </w:rPr>
            </w:pPr>
            <w:r>
              <w:t xml:space="preserve">Lõikest 4 on eemaldatud viide põhi- ja kõrvalnõuete eristamisele. </w:t>
            </w:r>
            <w:r w:rsidR="005C3635">
              <w:t xml:space="preserve">Küll aga andmetöötlusel IKS § 10 alusel tuleb järgida AKI maksehäirete avaldamise juhist, sh eristama põhi- ja kõrvalnõudeid. </w:t>
            </w:r>
          </w:p>
        </w:tc>
      </w:tr>
      <w:tr w:rsidR="00D22FD2" w14:paraId="0B6F2FED" w14:textId="77777777" w:rsidTr="00617FBE">
        <w:tc>
          <w:tcPr>
            <w:tcW w:w="576" w:type="dxa"/>
          </w:tcPr>
          <w:p w14:paraId="0C32E5F1" w14:textId="4A8F4BDC" w:rsidR="000179B5" w:rsidRDefault="007B6D68" w:rsidP="000179B5">
            <w:pPr>
              <w:jc w:val="center"/>
            </w:pPr>
            <w:r>
              <w:t>5</w:t>
            </w:r>
          </w:p>
        </w:tc>
        <w:tc>
          <w:tcPr>
            <w:tcW w:w="5040" w:type="dxa"/>
          </w:tcPr>
          <w:p w14:paraId="17AC0B3F" w14:textId="786364A1" w:rsidR="000179B5" w:rsidRDefault="007B6D68" w:rsidP="000179B5">
            <w:r>
              <w:t xml:space="preserve">Palume viia IKS eelnõu § </w:t>
            </w:r>
            <w:r w:rsidRPr="7C3CE6FA">
              <w:rPr>
                <w:rFonts w:eastAsia="Times New Roman"/>
                <w:color w:val="000000" w:themeColor="text1"/>
              </w:rPr>
              <w:t>10</w:t>
            </w:r>
            <w:r w:rsidRPr="7C3CE6FA">
              <w:rPr>
                <w:rFonts w:eastAsia="Times New Roman"/>
                <w:color w:val="000000" w:themeColor="text1"/>
                <w:vertAlign w:val="superscript"/>
              </w:rPr>
              <w:t>1</w:t>
            </w:r>
            <w:r>
              <w:t xml:space="preserve"> lg 5 seletuskiri kooskõlla direktiivi mõttega ning avada, kas lubatud on kõnealune teavitus saata koos IKÜM-s nõutud isikuandmete töötlemise teavitusega. </w:t>
            </w:r>
          </w:p>
        </w:tc>
        <w:tc>
          <w:tcPr>
            <w:tcW w:w="5016" w:type="dxa"/>
          </w:tcPr>
          <w:p w14:paraId="799021DE" w14:textId="4789CA17" w:rsidR="000179B5" w:rsidRDefault="747D93CC" w:rsidP="4DC6FE60">
            <w:pPr>
              <w:ind w:left="-5"/>
              <w:rPr>
                <w:rFonts w:eastAsia="Times New Roman"/>
                <w:color w:val="000000" w:themeColor="text1"/>
              </w:rPr>
            </w:pPr>
            <w:r w:rsidRPr="4DC6FE60">
              <w:rPr>
                <w:rFonts w:eastAsia="Times New Roman"/>
                <w:b/>
                <w:bCs/>
                <w:color w:val="000000" w:themeColor="text1"/>
              </w:rPr>
              <w:t>Arvestatud / Selgitatud</w:t>
            </w:r>
          </w:p>
          <w:p w14:paraId="267C2726" w14:textId="385F5168" w:rsidR="000179B5" w:rsidRDefault="747D93CC" w:rsidP="4DC6FE60">
            <w:pPr>
              <w:ind w:left="-5"/>
              <w:rPr>
                <w:rFonts w:eastAsia="Times New Roman"/>
                <w:color w:val="000000" w:themeColor="text1"/>
              </w:rPr>
            </w:pPr>
            <w:r w:rsidRPr="4DC6FE60">
              <w:rPr>
                <w:rFonts w:eastAsia="Times New Roman"/>
                <w:color w:val="000000" w:themeColor="text1"/>
              </w:rPr>
              <w:t>Tegemist on paralleelselt kohalduvate regulatsioonidega, st direktiiv täiendab IKÜM-</w:t>
            </w:r>
            <w:proofErr w:type="spellStart"/>
            <w:r w:rsidRPr="4DC6FE60">
              <w:rPr>
                <w:rFonts w:eastAsia="Times New Roman"/>
                <w:color w:val="000000" w:themeColor="text1"/>
              </w:rPr>
              <w:t>is</w:t>
            </w:r>
            <w:proofErr w:type="spellEnd"/>
            <w:r w:rsidRPr="4DC6FE60">
              <w:rPr>
                <w:rFonts w:eastAsia="Times New Roman"/>
                <w:color w:val="000000" w:themeColor="text1"/>
              </w:rPr>
              <w:t xml:space="preserve"> sätestatut. Praktikas võib siiski nii direktiivist kui ka IKÜM-ist tuleneva teavituse teha koos. Teisisõnu, IKS § 10</w:t>
            </w:r>
            <w:r w:rsidRPr="4DC6FE60">
              <w:rPr>
                <w:rFonts w:eastAsia="Times New Roman"/>
                <w:color w:val="000000" w:themeColor="text1"/>
                <w:vertAlign w:val="superscript"/>
              </w:rPr>
              <w:t>1</w:t>
            </w:r>
            <w:r w:rsidRPr="4DC6FE60">
              <w:rPr>
                <w:rFonts w:eastAsia="Times New Roman"/>
                <w:color w:val="000000" w:themeColor="text1"/>
              </w:rPr>
              <w:t xml:space="preserve"> lg 5 loomine IKÜM-i kõrvale ei tähenda, et tarbija peaks faktiliselt </w:t>
            </w:r>
            <w:r w:rsidR="48D27B1A" w:rsidRPr="7C3CE6FA">
              <w:rPr>
                <w:rFonts w:eastAsia="Times New Roman"/>
                <w:color w:val="000000" w:themeColor="text1"/>
              </w:rPr>
              <w:t>saama</w:t>
            </w:r>
            <w:r w:rsidRPr="7C3CE6FA">
              <w:rPr>
                <w:rFonts w:eastAsia="Times New Roman"/>
                <w:color w:val="000000" w:themeColor="text1"/>
              </w:rPr>
              <w:t xml:space="preserve"> </w:t>
            </w:r>
            <w:r w:rsidRPr="4DC6FE60">
              <w:rPr>
                <w:rFonts w:eastAsia="Times New Roman"/>
                <w:color w:val="000000" w:themeColor="text1"/>
              </w:rPr>
              <w:t xml:space="preserve">kaks </w:t>
            </w:r>
            <w:r w:rsidRPr="4DC6FE60">
              <w:rPr>
                <w:rFonts w:eastAsia="Times New Roman"/>
                <w:color w:val="000000" w:themeColor="text1"/>
              </w:rPr>
              <w:lastRenderedPageBreak/>
              <w:t>eraldi teavitust. Piisab ühest teavitusest, aga selle juures peab mõlema reeglite kogumi nõudeid järgima.</w:t>
            </w:r>
          </w:p>
          <w:p w14:paraId="3D9472DE" w14:textId="27980D08" w:rsidR="000179B5" w:rsidRDefault="747D93CC" w:rsidP="4DC6FE60">
            <w:pPr>
              <w:ind w:left="-5"/>
              <w:rPr>
                <w:rFonts w:eastAsia="Times New Roman"/>
                <w:color w:val="000000" w:themeColor="text1"/>
              </w:rPr>
            </w:pPr>
            <w:r w:rsidRPr="4DC6FE60">
              <w:rPr>
                <w:rFonts w:eastAsia="Times New Roman"/>
                <w:color w:val="000000" w:themeColor="text1"/>
              </w:rPr>
              <w:t>Eelnõu seletuskirja on vastavalt täiendatud.</w:t>
            </w:r>
          </w:p>
          <w:p w14:paraId="3E38284F" w14:textId="1A9953E8" w:rsidR="000179B5" w:rsidRDefault="000179B5" w:rsidP="4DC6FE60">
            <w:pPr>
              <w:jc w:val="center"/>
              <w:rPr>
                <w:rFonts w:eastAsia="Times New Roman"/>
                <w:color w:val="000000" w:themeColor="text1"/>
              </w:rPr>
            </w:pPr>
          </w:p>
        </w:tc>
      </w:tr>
      <w:tr w:rsidR="00D22FD2" w14:paraId="01E03DEE" w14:textId="77777777" w:rsidTr="00617FBE">
        <w:tc>
          <w:tcPr>
            <w:tcW w:w="576" w:type="dxa"/>
          </w:tcPr>
          <w:p w14:paraId="438E46AD" w14:textId="765E091D" w:rsidR="000179B5" w:rsidRDefault="004205B3" w:rsidP="000179B5">
            <w:pPr>
              <w:jc w:val="center"/>
            </w:pPr>
            <w:r>
              <w:lastRenderedPageBreak/>
              <w:t xml:space="preserve">6 </w:t>
            </w:r>
          </w:p>
        </w:tc>
        <w:tc>
          <w:tcPr>
            <w:tcW w:w="5040" w:type="dxa"/>
          </w:tcPr>
          <w:p w14:paraId="443A41CD" w14:textId="062236E9" w:rsidR="000179B5" w:rsidRDefault="004205B3" w:rsidP="000179B5">
            <w:r>
              <w:t xml:space="preserve">Palume viia IKS eelnõu § </w:t>
            </w:r>
            <w:r w:rsidRPr="7C3CE6FA">
              <w:rPr>
                <w:rFonts w:eastAsia="Times New Roman"/>
                <w:color w:val="000000" w:themeColor="text1"/>
              </w:rPr>
              <w:t>10</w:t>
            </w:r>
            <w:r w:rsidRPr="7C3CE6FA">
              <w:rPr>
                <w:rFonts w:eastAsia="Times New Roman"/>
                <w:color w:val="000000" w:themeColor="text1"/>
                <w:vertAlign w:val="superscript"/>
              </w:rPr>
              <w:t>1</w:t>
            </w:r>
            <w:r>
              <w:t xml:space="preserve"> lg 6 sõnastus kooskõlla direktiivi artikkel 19 sõnastusega, mille kohaselt peab liikmesriik tagama kaebuste esitamise menetluste olemasolu, mitte looma juurde uut vaide esitamise mehhanismi.</w:t>
            </w:r>
          </w:p>
        </w:tc>
        <w:tc>
          <w:tcPr>
            <w:tcW w:w="5016" w:type="dxa"/>
          </w:tcPr>
          <w:p w14:paraId="52026528" w14:textId="551C2DC1" w:rsidR="000179B5" w:rsidRDefault="675FAA73" w:rsidP="4DC6FE60">
            <w:pPr>
              <w:ind w:left="-5"/>
              <w:rPr>
                <w:rFonts w:eastAsia="Times New Roman"/>
                <w:color w:val="000000" w:themeColor="text1"/>
              </w:rPr>
            </w:pPr>
            <w:r w:rsidRPr="4DC6FE60">
              <w:rPr>
                <w:rFonts w:eastAsia="Times New Roman"/>
                <w:b/>
                <w:bCs/>
                <w:color w:val="000000" w:themeColor="text1"/>
              </w:rPr>
              <w:t>Arvestatud</w:t>
            </w:r>
          </w:p>
          <w:p w14:paraId="4C68A858" w14:textId="097A6543" w:rsidR="000179B5" w:rsidRDefault="675FAA73" w:rsidP="4DC6FE60">
            <w:pPr>
              <w:ind w:left="-5"/>
              <w:rPr>
                <w:rFonts w:eastAsia="Times New Roman"/>
                <w:color w:val="000000" w:themeColor="text1"/>
              </w:rPr>
            </w:pPr>
            <w:r w:rsidRPr="4DC6FE60">
              <w:rPr>
                <w:rFonts w:eastAsia="Times New Roman"/>
                <w:color w:val="000000" w:themeColor="text1"/>
              </w:rPr>
              <w:t>Eelnõu on muudetud. Eelnõu uue sõnastuse kohaselt peab registripidaja tagama vastava korra olemasolu. See hõlmab nii juba praegu olemasolevaid meetmeid, mis juba vastavad lõike 6 nõuetele, kui ka selliseid mehhanisme, mille registripidaja peab looma. Vastav selgitus on lisatud ka eelnõu seletuskirja.</w:t>
            </w:r>
          </w:p>
          <w:p w14:paraId="09FB1EFB" w14:textId="79EC5125" w:rsidR="000179B5" w:rsidRDefault="000179B5" w:rsidP="000179B5">
            <w:pPr>
              <w:jc w:val="center"/>
            </w:pPr>
          </w:p>
        </w:tc>
      </w:tr>
      <w:tr w:rsidR="00D22FD2" w14:paraId="666300C2" w14:textId="77777777" w:rsidTr="00617FBE">
        <w:tc>
          <w:tcPr>
            <w:tcW w:w="576" w:type="dxa"/>
          </w:tcPr>
          <w:p w14:paraId="12B49686" w14:textId="1090A7B5" w:rsidR="000179B5" w:rsidRDefault="00837C15" w:rsidP="000179B5">
            <w:pPr>
              <w:jc w:val="center"/>
            </w:pPr>
            <w:r>
              <w:t xml:space="preserve">7 </w:t>
            </w:r>
          </w:p>
        </w:tc>
        <w:tc>
          <w:tcPr>
            <w:tcW w:w="5040" w:type="dxa"/>
          </w:tcPr>
          <w:p w14:paraId="2D65FA7A" w14:textId="4D569854" w:rsidR="00B01CA0" w:rsidRDefault="00837C15" w:rsidP="00B01CA0">
            <w:r>
              <w:t>Palume viia IKS eelnõu § 71</w:t>
            </w:r>
            <w:r w:rsidR="003C543E">
              <w:rPr>
                <w:vertAlign w:val="superscript"/>
              </w:rPr>
              <w:t>1</w:t>
            </w:r>
            <w:r>
              <w:t xml:space="preserve"> sõnastus kooskõlla direktiivi artikkel 44 sõnastusega, mille kohaselt peab liikmesriik kehtestama tõhusad, proportsionaalsed ja hoiatavad sanktsioonid, mitte aga üle võtma </w:t>
            </w:r>
            <w:proofErr w:type="spellStart"/>
            <w:r>
              <w:t>IKÜMi</w:t>
            </w:r>
            <w:proofErr w:type="spellEnd"/>
            <w:r>
              <w:t xml:space="preserve"> trahve ja trahvimäärasid, mis on nagunii andmekaitse nõuete rikkumise eest ette nähtud.</w:t>
            </w:r>
          </w:p>
          <w:p w14:paraId="6617B6C7" w14:textId="4F8AFC62" w:rsidR="00B01CA0" w:rsidRDefault="00B01CA0" w:rsidP="00B01CA0">
            <w:r>
              <w:t xml:space="preserve">Teeme ettepaneku sätestada sanktsiooni ülemmääraks  maksimaalselt kuni 1 000 000 eurot. Selline määr oleks kooskõlas direktiivi art 44 nõudega kehtestada tõhusad, proportsionaalsed ja hoiatavad sanktsioonid, arvestades, </w:t>
            </w:r>
          </w:p>
          <w:p w14:paraId="44F9364C" w14:textId="205C23B9" w:rsidR="00B01CA0" w:rsidRDefault="00B01CA0" w:rsidP="00B01CA0">
            <w:r>
              <w:t xml:space="preserve">et tegemist on tarbijakrediidi valdkonna eriregulatsiooni, mitte isikuandmete kaitse </w:t>
            </w:r>
            <w:proofErr w:type="spellStart"/>
            <w:r>
              <w:t>üldmäärus</w:t>
            </w:r>
            <w:r w:rsidR="00A407BF">
              <w:t>e</w:t>
            </w:r>
            <w:proofErr w:type="spellEnd"/>
            <w:r w:rsidR="00A407BF">
              <w:t xml:space="preserve"> </w:t>
            </w:r>
            <w:r>
              <w:t xml:space="preserve">kohustuste rikkumisega. Kuni 1 000 000 euro suurune maksimaalne </w:t>
            </w:r>
          </w:p>
          <w:p w14:paraId="34FF5BF7" w14:textId="16D25FC2" w:rsidR="000179B5" w:rsidRDefault="00B01CA0" w:rsidP="000179B5">
            <w:r>
              <w:t>rahatrahv oleks analoogia korras põhjendatud ka teiste valdkondlike finants- ja krediidituru õigusaktide sanktsioonimudelitega, kus karistusmäärad on diferentseeritud vastavalt reguleeritava kohustuse iseloomule ega dubleeri IKÜM art 83 kõige raskemate rikkumiste ülemmäärasid. Selline lahendus tagaks sanktsiooni hoiatava mõju, vältides samas põhjendamatut topelt sanktsioneerimist ja ebaproportsionaalset kumulatiivset trahviriski</w:t>
            </w:r>
            <w:r w:rsidR="00A407BF">
              <w:t xml:space="preserve">. </w:t>
            </w:r>
          </w:p>
        </w:tc>
        <w:tc>
          <w:tcPr>
            <w:tcW w:w="5016" w:type="dxa"/>
          </w:tcPr>
          <w:p w14:paraId="52017D1D" w14:textId="36F3466F" w:rsidR="000179B5" w:rsidRDefault="090BA06B" w:rsidP="4DC6FE60">
            <w:pPr>
              <w:ind w:left="-5"/>
              <w:rPr>
                <w:rFonts w:eastAsia="Times New Roman"/>
                <w:color w:val="000000" w:themeColor="text1"/>
              </w:rPr>
            </w:pPr>
            <w:r w:rsidRPr="4DC6FE60">
              <w:rPr>
                <w:rFonts w:eastAsia="Times New Roman"/>
                <w:b/>
                <w:bCs/>
                <w:color w:val="000000" w:themeColor="text1"/>
              </w:rPr>
              <w:t>Arvestatud osaliselt / selgitatud</w:t>
            </w:r>
            <w:r w:rsidRPr="4DC6FE60">
              <w:rPr>
                <w:rFonts w:eastAsia="Times New Roman"/>
                <w:color w:val="000000" w:themeColor="text1"/>
              </w:rPr>
              <w:t>.</w:t>
            </w:r>
          </w:p>
          <w:p w14:paraId="07DBA2EE" w14:textId="41912D45" w:rsidR="000179B5" w:rsidRDefault="090BA06B" w:rsidP="4DC6FE60">
            <w:pPr>
              <w:spacing w:after="5" w:line="248" w:lineRule="auto"/>
              <w:ind w:left="-5" w:hanging="10"/>
              <w:rPr>
                <w:rFonts w:eastAsia="Times New Roman"/>
                <w:color w:val="000000" w:themeColor="text1"/>
              </w:rPr>
            </w:pPr>
            <w:r w:rsidRPr="4DC6FE60">
              <w:rPr>
                <w:rFonts w:eastAsia="Times New Roman"/>
                <w:color w:val="000000" w:themeColor="text1"/>
              </w:rPr>
              <w:t xml:space="preserve">Kuivõrd direktiivi artikkel 19 võetakse üle </w:t>
            </w:r>
            <w:proofErr w:type="spellStart"/>
            <w:r w:rsidRPr="4DC6FE60">
              <w:rPr>
                <w:rFonts w:eastAsia="Times New Roman"/>
                <w:color w:val="000000" w:themeColor="text1"/>
              </w:rPr>
              <w:t>IKS-i</w:t>
            </w:r>
            <w:proofErr w:type="spellEnd"/>
            <w:r w:rsidRPr="4DC6FE60">
              <w:rPr>
                <w:rFonts w:eastAsia="Times New Roman"/>
                <w:color w:val="000000" w:themeColor="text1"/>
              </w:rPr>
              <w:t xml:space="preserve"> ja need reeglid on käsitletavad andmekaitse reeglitena, siis peab nende rikkumisele kohalduma ka </w:t>
            </w:r>
            <w:proofErr w:type="spellStart"/>
            <w:r w:rsidRPr="4DC6FE60">
              <w:rPr>
                <w:rFonts w:eastAsia="Times New Roman"/>
                <w:color w:val="000000" w:themeColor="text1"/>
              </w:rPr>
              <w:t>IKS-i</w:t>
            </w:r>
            <w:proofErr w:type="spellEnd"/>
            <w:r w:rsidRPr="4DC6FE60">
              <w:rPr>
                <w:rFonts w:eastAsia="Times New Roman"/>
                <w:color w:val="000000" w:themeColor="text1"/>
              </w:rPr>
              <w:t xml:space="preserve"> sanktsioonide regulatsioon.</w:t>
            </w:r>
          </w:p>
          <w:p w14:paraId="3F54BEFD" w14:textId="6557A3C8" w:rsidR="000179B5" w:rsidRDefault="090BA06B" w:rsidP="4DC6FE60">
            <w:pPr>
              <w:spacing w:after="5" w:line="248" w:lineRule="auto"/>
              <w:ind w:left="-5" w:hanging="10"/>
              <w:rPr>
                <w:rFonts w:eastAsia="Times New Roman"/>
                <w:color w:val="000000" w:themeColor="text1"/>
              </w:rPr>
            </w:pPr>
            <w:r w:rsidRPr="4DC6FE60">
              <w:rPr>
                <w:rFonts w:eastAsia="Times New Roman"/>
                <w:color w:val="000000" w:themeColor="text1"/>
              </w:rPr>
              <w:t xml:space="preserve">Samas arvestades eelnõu kooskõlastamisel saadud tagasisidet on  eelnõus </w:t>
            </w:r>
            <w:proofErr w:type="spellStart"/>
            <w:r w:rsidRPr="4DC6FE60">
              <w:rPr>
                <w:rFonts w:eastAsia="Times New Roman"/>
                <w:color w:val="000000" w:themeColor="text1"/>
              </w:rPr>
              <w:t>IKS-i</w:t>
            </w:r>
            <w:proofErr w:type="spellEnd"/>
            <w:r w:rsidRPr="4DC6FE60">
              <w:rPr>
                <w:rFonts w:eastAsia="Times New Roman"/>
                <w:color w:val="000000" w:themeColor="text1"/>
              </w:rPr>
              <w:t xml:space="preserve"> väärteotrahvi maksimaalset määra korrigeeritud ja nähtud kompromissina ette </w:t>
            </w:r>
            <w:proofErr w:type="spellStart"/>
            <w:r w:rsidRPr="4DC6FE60">
              <w:rPr>
                <w:rFonts w:eastAsia="Times New Roman"/>
                <w:color w:val="000000" w:themeColor="text1"/>
              </w:rPr>
              <w:t>IKS-is</w:t>
            </w:r>
            <w:proofErr w:type="spellEnd"/>
            <w:r w:rsidRPr="4DC6FE60">
              <w:rPr>
                <w:rFonts w:eastAsia="Times New Roman"/>
                <w:color w:val="000000" w:themeColor="text1"/>
              </w:rPr>
              <w:t xml:space="preserve"> kasutatavatest määradest madalam määr 10 000 000 eurot.</w:t>
            </w:r>
          </w:p>
          <w:p w14:paraId="4377CF93" w14:textId="2974FCBE" w:rsidR="000179B5" w:rsidRDefault="000179B5" w:rsidP="000179B5">
            <w:pPr>
              <w:jc w:val="center"/>
            </w:pPr>
          </w:p>
        </w:tc>
      </w:tr>
      <w:tr w:rsidR="002A6C9D" w14:paraId="0541BAC6" w14:textId="77777777" w:rsidTr="00617FBE">
        <w:tc>
          <w:tcPr>
            <w:tcW w:w="10632" w:type="dxa"/>
            <w:gridSpan w:val="3"/>
          </w:tcPr>
          <w:p w14:paraId="504514F4" w14:textId="5EFE9035" w:rsidR="00ED6FCF" w:rsidRPr="00834BA1" w:rsidRDefault="00ED6FCF" w:rsidP="00ED6FCF">
            <w:pPr>
              <w:rPr>
                <w:b/>
                <w:bCs/>
              </w:rPr>
            </w:pPr>
            <w:r w:rsidRPr="00834BA1">
              <w:rPr>
                <w:b/>
                <w:bCs/>
              </w:rPr>
              <w:t>Eesti Infotehnoloogia ja Telekommunikatsiooni Liit</w:t>
            </w:r>
          </w:p>
        </w:tc>
      </w:tr>
      <w:tr w:rsidR="00D22FD2" w14:paraId="2C1136A2" w14:textId="77777777" w:rsidTr="00617FBE">
        <w:tc>
          <w:tcPr>
            <w:tcW w:w="576" w:type="dxa"/>
          </w:tcPr>
          <w:p w14:paraId="45A6E125" w14:textId="39A8A343" w:rsidR="000179B5" w:rsidRDefault="004C3672" w:rsidP="000179B5">
            <w:pPr>
              <w:jc w:val="center"/>
            </w:pPr>
            <w:r>
              <w:t>1</w:t>
            </w:r>
          </w:p>
        </w:tc>
        <w:tc>
          <w:tcPr>
            <w:tcW w:w="5040" w:type="dxa"/>
          </w:tcPr>
          <w:p w14:paraId="2E183085" w14:textId="5EF9F1DD" w:rsidR="000179B5" w:rsidRDefault="00880B28" w:rsidP="00880B28">
            <w:r>
              <w:t>Ettepanek selguse huvides muuta nii tarbijakrediidilepingu mõistet (VÕS § 402 lg 1) kui ka VÕS § 401 lõikes 1 toodud krediidilepingu mõistet selliselt, et oleks arusaadav, et krediidileping võib olla nii tasuline leping kui ka tasuta leping, mille puhul antakse krediiti ilma intressita ega nõuta muude tasude maksmis</w:t>
            </w:r>
            <w:r w:rsidR="004B3F91">
              <w:t xml:space="preserve">t. </w:t>
            </w:r>
          </w:p>
        </w:tc>
        <w:tc>
          <w:tcPr>
            <w:tcW w:w="5016" w:type="dxa"/>
          </w:tcPr>
          <w:p w14:paraId="20E2BC52" w14:textId="56DB917F" w:rsidR="000179B5" w:rsidRDefault="7E09D170" w:rsidP="2C76756C">
            <w:pPr>
              <w:ind w:left="-5"/>
              <w:rPr>
                <w:b/>
                <w:bCs/>
              </w:rPr>
            </w:pPr>
            <w:r w:rsidRPr="2C76756C">
              <w:rPr>
                <w:b/>
                <w:bCs/>
              </w:rPr>
              <w:t>Arvestatud osaliselt / selgitatud</w:t>
            </w:r>
          </w:p>
          <w:p w14:paraId="77D8D691" w14:textId="117B3320" w:rsidR="000179B5" w:rsidRDefault="7E09D170" w:rsidP="2C76756C">
            <w:pPr>
              <w:ind w:left="-5"/>
            </w:pPr>
            <w:r>
              <w:t>Eelnõus on vastavalt muudetud VÕS § 402 sätestatud tarbijakrediidilepingu mõistet ja lisatud eraldi lause selle kohta, et tegemist võib olla nii tasulise kui ka tasuta lepinguga.</w:t>
            </w:r>
          </w:p>
          <w:p w14:paraId="04348F62" w14:textId="5101053C" w:rsidR="000179B5" w:rsidRDefault="000179B5" w:rsidP="2C76756C">
            <w:pPr>
              <w:ind w:left="-5"/>
            </w:pPr>
          </w:p>
          <w:p w14:paraId="710A1D41" w14:textId="1011EDFF" w:rsidR="000179B5" w:rsidRDefault="7E09D170" w:rsidP="007661C3">
            <w:pPr>
              <w:ind w:left="-5"/>
            </w:pPr>
            <w:r>
              <w:t xml:space="preserve">Sama muudatust ei saa aga teha VÕS §-s 401 üldiselt krediidilepingu mõiste kohta. See ei ole direktiivi ülevõtmiseks vajalik ega ka eelnõu </w:t>
            </w:r>
            <w:r>
              <w:lastRenderedPageBreak/>
              <w:t>sisuline eesmärk.</w:t>
            </w:r>
            <w:r w:rsidR="6828E0FC">
              <w:t xml:space="preserve"> Krediidileping, v.a. tarbijakrediidileping, on endiselt </w:t>
            </w:r>
            <w:proofErr w:type="spellStart"/>
            <w:r w:rsidR="6828E0FC">
              <w:t>VÕS-i</w:t>
            </w:r>
            <w:proofErr w:type="spellEnd"/>
            <w:r w:rsidR="6828E0FC">
              <w:t xml:space="preserve"> kohaselt tasuline leping. </w:t>
            </w:r>
          </w:p>
        </w:tc>
      </w:tr>
      <w:tr w:rsidR="00D22FD2" w14:paraId="5423CED3" w14:textId="77777777" w:rsidTr="00617FBE">
        <w:tc>
          <w:tcPr>
            <w:tcW w:w="576" w:type="dxa"/>
          </w:tcPr>
          <w:p w14:paraId="2B69AD9C" w14:textId="158C0514" w:rsidR="000179B5" w:rsidRDefault="004C3672" w:rsidP="000179B5">
            <w:pPr>
              <w:jc w:val="center"/>
            </w:pPr>
            <w:r>
              <w:lastRenderedPageBreak/>
              <w:t>2</w:t>
            </w:r>
          </w:p>
        </w:tc>
        <w:tc>
          <w:tcPr>
            <w:tcW w:w="5040" w:type="dxa"/>
          </w:tcPr>
          <w:p w14:paraId="1035FB76" w14:textId="4345F900" w:rsidR="000179B5" w:rsidRPr="00C9172A" w:rsidRDefault="00C9172A" w:rsidP="00C9172A">
            <w:pPr>
              <w:rPr>
                <w:vertAlign w:val="superscript"/>
              </w:rPr>
            </w:pPr>
            <w:r>
              <w:t>Ettepanek täiendada VÕS § 403</w:t>
            </w:r>
            <w:r>
              <w:rPr>
                <w:vertAlign w:val="superscript"/>
              </w:rPr>
              <w:t xml:space="preserve">4 </w:t>
            </w:r>
            <w:r>
              <w:t>lg 12 järgmise lausega: „Krediidiandjal on õigus tarbijakrediidileping erakorraliselt üles öelda või sellest taganeda, kui pärast lepingu sõlmimist selgub, et tarbija on esitanud krediidiandjale võltsitud teabe või ebaõige informatsiooni, mille tõttu krediidiandja ei saanud tarbija krediidivõimelisust õigesti hinnata.</w:t>
            </w:r>
          </w:p>
        </w:tc>
        <w:tc>
          <w:tcPr>
            <w:tcW w:w="5016" w:type="dxa"/>
          </w:tcPr>
          <w:p w14:paraId="713E3DFD" w14:textId="165A7492" w:rsidR="05265D11" w:rsidRDefault="05265D11">
            <w:r w:rsidRPr="343C9844">
              <w:rPr>
                <w:b/>
                <w:bCs/>
              </w:rPr>
              <w:t>Mittearvestatud / Selgitatud.</w:t>
            </w:r>
          </w:p>
          <w:p w14:paraId="01FCA3C8" w14:textId="1BF9E94F" w:rsidR="000179B5" w:rsidRDefault="05265D11" w:rsidP="00DA6DBE">
            <w:r>
              <w:t>Vastav regulatsioon</w:t>
            </w:r>
            <w:r w:rsidR="3F42CA0E">
              <w:t xml:space="preserve"> on</w:t>
            </w:r>
            <w:r w:rsidR="0AD065A5">
              <w:t xml:space="preserve"> juba</w:t>
            </w:r>
            <w:r w:rsidR="3F42CA0E">
              <w:t xml:space="preserve"> olemas </w:t>
            </w:r>
            <w:r w:rsidR="7BD32387">
              <w:t xml:space="preserve">VÕS </w:t>
            </w:r>
            <w:r w:rsidR="50B168C7">
              <w:t>§ 416 l</w:t>
            </w:r>
            <w:r w:rsidR="0066B1D1">
              <w:t>õikes</w:t>
            </w:r>
            <w:r w:rsidR="50B168C7">
              <w:t xml:space="preserve"> 4</w:t>
            </w:r>
            <w:r w:rsidR="12C98CE7">
              <w:t>. Seetõttu puudub vajadus selle kordamiseks VÕS § 403</w:t>
            </w:r>
            <w:r w:rsidR="12C98CE7" w:rsidRPr="343C9844">
              <w:rPr>
                <w:vertAlign w:val="superscript"/>
              </w:rPr>
              <w:t xml:space="preserve">4 </w:t>
            </w:r>
            <w:r w:rsidR="12C98CE7">
              <w:t xml:space="preserve">lõikes 12. </w:t>
            </w:r>
            <w:r w:rsidR="582CCC3A">
              <w:t xml:space="preserve">Sisuliselt vastab see aga ITL-i ettepanekule. Kuid täiendavat seadusemuudatust ei ole selleks tarvis. </w:t>
            </w:r>
          </w:p>
        </w:tc>
      </w:tr>
      <w:tr w:rsidR="00D22FD2" w14:paraId="21734AC4" w14:textId="77777777" w:rsidTr="00617FBE">
        <w:tc>
          <w:tcPr>
            <w:tcW w:w="576" w:type="dxa"/>
          </w:tcPr>
          <w:p w14:paraId="7CC26412" w14:textId="37AB8B89" w:rsidR="000179B5" w:rsidRDefault="004C3672" w:rsidP="000179B5">
            <w:pPr>
              <w:jc w:val="center"/>
            </w:pPr>
            <w:r>
              <w:t>3</w:t>
            </w:r>
          </w:p>
        </w:tc>
        <w:tc>
          <w:tcPr>
            <w:tcW w:w="5040" w:type="dxa"/>
          </w:tcPr>
          <w:p w14:paraId="4885FB34" w14:textId="5EA5BA94" w:rsidR="000179B5" w:rsidRDefault="000A72DA" w:rsidP="000A72DA">
            <w:r>
              <w:t xml:space="preserve">Palume kaaluda VÕS § 403 lõike 8 välja jätmist eelnõust kuna antud sätte kohaldatavus Eesti tingimustes on küsitav. </w:t>
            </w:r>
          </w:p>
        </w:tc>
        <w:tc>
          <w:tcPr>
            <w:tcW w:w="5016" w:type="dxa"/>
          </w:tcPr>
          <w:p w14:paraId="72BAD10F" w14:textId="2F663CF6" w:rsidR="000179B5" w:rsidRDefault="000D4E6F" w:rsidP="453130C3">
            <w:pPr>
              <w:ind w:left="-5"/>
              <w:rPr>
                <w:rFonts w:eastAsia="Times New Roman"/>
                <w:color w:val="000000" w:themeColor="text1"/>
              </w:rPr>
            </w:pPr>
            <w:r w:rsidRPr="453130C3">
              <w:rPr>
                <w:rFonts w:eastAsia="Times New Roman"/>
                <w:b/>
                <w:bCs/>
                <w:color w:val="000000" w:themeColor="text1"/>
              </w:rPr>
              <w:t>Mittearvestatud</w:t>
            </w:r>
            <w:r w:rsidRPr="28F66D1A">
              <w:rPr>
                <w:rFonts w:eastAsia="Times New Roman"/>
                <w:b/>
                <w:bCs/>
                <w:color w:val="000000" w:themeColor="text1"/>
              </w:rPr>
              <w:t xml:space="preserve"> </w:t>
            </w:r>
            <w:r w:rsidRPr="453130C3">
              <w:rPr>
                <w:rFonts w:eastAsia="Times New Roman"/>
                <w:b/>
                <w:bCs/>
                <w:color w:val="000000" w:themeColor="text1"/>
              </w:rPr>
              <w:t>/</w:t>
            </w:r>
            <w:r w:rsidRPr="4020122D">
              <w:rPr>
                <w:rFonts w:eastAsia="Times New Roman"/>
                <w:b/>
                <w:bCs/>
                <w:color w:val="000000" w:themeColor="text1"/>
              </w:rPr>
              <w:t xml:space="preserve"> Selgitatud.</w:t>
            </w:r>
          </w:p>
          <w:p w14:paraId="7E400FD5" w14:textId="26EE5CA8" w:rsidR="000179B5" w:rsidRDefault="000D4E6F" w:rsidP="453130C3">
            <w:pPr>
              <w:ind w:left="-5"/>
              <w:rPr>
                <w:rFonts w:eastAsia="Times New Roman"/>
                <w:color w:val="000000" w:themeColor="text1"/>
              </w:rPr>
            </w:pPr>
            <w:r w:rsidRPr="453130C3">
              <w:rPr>
                <w:rFonts w:eastAsia="Times New Roman"/>
                <w:color w:val="000000" w:themeColor="text1"/>
              </w:rPr>
              <w:t xml:space="preserve">VÕS § 403 lg 8 eelnõust väljajätmine ei ole oleks kooskõlas ettepanekuga taotletavate eesmärkidega. See reegel vastab täpselt direktiivi artikli 2 punkti h viimasele alalõigule. Kuna tegemist on kohaldamisala välistuse sättega, siis oleks Eestil põhimõtteliselt võimalik tervikuna punkti h mitte rakendada. Aga sellisel juhul alluksid kõik nn “osta nüüd, maksa hiljem” tarbijakrediidilepingud täielikult, ilma </w:t>
            </w:r>
            <w:r w:rsidRPr="28F66D1A">
              <w:rPr>
                <w:rFonts w:eastAsia="Times New Roman"/>
                <w:color w:val="000000" w:themeColor="text1"/>
              </w:rPr>
              <w:t>eelnõukohastes</w:t>
            </w:r>
            <w:r w:rsidRPr="453130C3">
              <w:rPr>
                <w:rFonts w:eastAsia="Times New Roman"/>
                <w:color w:val="000000" w:themeColor="text1"/>
              </w:rPr>
              <w:t xml:space="preserve"> lõigetes 7 ja 8 nimetatud eranditeta  tarbijakrediidi reeglitele. See ei oleks aga sisuliselt mõistlik ega vastaks ilmselt ka tehtud ettepaneku eesmärgile. </w:t>
            </w:r>
          </w:p>
          <w:p w14:paraId="50D7ED72" w14:textId="29D3E042" w:rsidR="000179B5" w:rsidRDefault="000179B5" w:rsidP="453130C3">
            <w:pPr>
              <w:ind w:left="-5"/>
              <w:rPr>
                <w:rFonts w:eastAsia="Times New Roman"/>
                <w:color w:val="000000" w:themeColor="text1"/>
              </w:rPr>
            </w:pPr>
          </w:p>
          <w:p w14:paraId="5702CCAF" w14:textId="7184FBF5" w:rsidR="000179B5" w:rsidRDefault="000D4E6F" w:rsidP="692F1B0B">
            <w:pPr>
              <w:ind w:left="-5"/>
              <w:rPr>
                <w:rFonts w:eastAsia="Times New Roman"/>
                <w:color w:val="000000" w:themeColor="text1"/>
              </w:rPr>
            </w:pPr>
            <w:r w:rsidRPr="453130C3">
              <w:rPr>
                <w:rFonts w:eastAsia="Times New Roman"/>
                <w:color w:val="000000" w:themeColor="text1"/>
              </w:rPr>
              <w:t>Lõige 8 vastab artikli 2 punkti h teisele poolele. Kui punkti h rakendada, siis tuleb seda teha tervikuna, olenemata sellest, kui ulatuslik praktiline väärtus selle teisel poolel Eesti kontekstis on.</w:t>
            </w:r>
          </w:p>
        </w:tc>
      </w:tr>
      <w:tr w:rsidR="00D22FD2" w14:paraId="4D04BBEB" w14:textId="77777777" w:rsidTr="00617FBE">
        <w:tc>
          <w:tcPr>
            <w:tcW w:w="576" w:type="dxa"/>
          </w:tcPr>
          <w:p w14:paraId="5F07F7F9" w14:textId="4B14D43F" w:rsidR="000179B5" w:rsidRDefault="004C3672" w:rsidP="000179B5">
            <w:pPr>
              <w:jc w:val="center"/>
            </w:pPr>
            <w:r>
              <w:t>4</w:t>
            </w:r>
          </w:p>
        </w:tc>
        <w:tc>
          <w:tcPr>
            <w:tcW w:w="5040" w:type="dxa"/>
          </w:tcPr>
          <w:p w14:paraId="0ACD150F" w14:textId="5A05E1F3" w:rsidR="00311D75" w:rsidRPr="00153A75" w:rsidRDefault="00311D75" w:rsidP="00311D75">
            <w:r>
              <w:t xml:space="preserve">Kui lõike 8 välja jätmise pole võimalik, siis palume sõnastada see säte nii, et sellest tuleb selgelt välja, et see kohaldub vaid suure turujõuga ettevõtete osas, kelle põhitegevuseks on pakkuda infoühiskonna teenuse seaduse tähenduses infoühiskonna teenust, mis seisneb üksnes või eelkõige sidevahendi abil lepingu sõlmimise võimaldamises asjade, teenuste ja muude lepinguesemete pakkumiseks ja seda platvormipõhiselt. ITL-i ettepanek sõnastuseks: „(8) </w:t>
            </w:r>
            <w:r w:rsidRPr="00311D75">
              <w:rPr>
                <w:i/>
                <w:iCs/>
              </w:rPr>
              <w:t>Kui ettevõtja, kes pakub põhitegevusena infoühiskonna teenuse seaduse tähenduses infoühiskonna teenust, mis seisneb platvormipõhises sidevahendi abil lepingute sõlmimise võimaldamises asjade, teenuste ja muude lepinguesemete pakkumiseks, ning kes ei ole</w:t>
            </w:r>
            <w:r>
              <w:rPr>
                <w:i/>
                <w:iCs/>
              </w:rPr>
              <w:t xml:space="preserve"> </w:t>
            </w:r>
            <w:r w:rsidRPr="00311D75">
              <w:rPr>
                <w:i/>
                <w:iCs/>
              </w:rPr>
              <w:t xml:space="preserve">Euroopa Komisjoni soovituses 2003/361/EÜ määratletud mikro, väike- ega keskmise suurusega ettevõtja, võimaldab enda pakutava asja, teenuse </w:t>
            </w:r>
            <w:r w:rsidRPr="00311D75">
              <w:rPr>
                <w:i/>
                <w:iCs/>
              </w:rPr>
              <w:lastRenderedPageBreak/>
              <w:t>või muu lepingueseme eest tasumisel maksetähtpäeva tasuta edasilükkamist, ei kohaldata käesolevas jaos sätestatut, kui on täidetud kõik järgmised tingimused:</w:t>
            </w:r>
          </w:p>
          <w:p w14:paraId="78AD8443" w14:textId="77777777" w:rsidR="00311D75" w:rsidRPr="00311D75" w:rsidRDefault="00311D75" w:rsidP="00311D75">
            <w:pPr>
              <w:rPr>
                <w:i/>
                <w:iCs/>
              </w:rPr>
            </w:pPr>
            <w:r w:rsidRPr="00311D75">
              <w:rPr>
                <w:i/>
                <w:iCs/>
              </w:rPr>
              <w:t xml:space="preserve">1) kolmas isik ei paku asja, teenuse või muu lepingueseme finantseerimiseks krediiti ega omanda </w:t>
            </w:r>
          </w:p>
          <w:p w14:paraId="33B7F7CD" w14:textId="77777777" w:rsidR="00311D75" w:rsidRPr="00311D75" w:rsidRDefault="00311D75" w:rsidP="00311D75">
            <w:pPr>
              <w:rPr>
                <w:i/>
                <w:iCs/>
              </w:rPr>
            </w:pPr>
            <w:r w:rsidRPr="00311D75">
              <w:rPr>
                <w:i/>
                <w:iCs/>
              </w:rPr>
              <w:t>tarbijakrediidilepingust tulenevat nõuet tarbija vastu;</w:t>
            </w:r>
          </w:p>
          <w:p w14:paraId="242EACB9" w14:textId="00759967" w:rsidR="00311D75" w:rsidRPr="00311D75" w:rsidRDefault="00311D75" w:rsidP="00311D75">
            <w:pPr>
              <w:rPr>
                <w:i/>
                <w:iCs/>
              </w:rPr>
            </w:pPr>
            <w:r w:rsidRPr="00311D75">
              <w:rPr>
                <w:i/>
                <w:iCs/>
              </w:rPr>
              <w:t>2) maksetähtpäev on kuni 14 päeva alates asja või muu lepingueseme üleandmisest või teenuse osutamisest;</w:t>
            </w:r>
          </w:p>
          <w:p w14:paraId="2F710D88" w14:textId="77777777" w:rsidR="000179B5" w:rsidRDefault="00311D75" w:rsidP="00311D75">
            <w:pPr>
              <w:rPr>
                <w:i/>
                <w:iCs/>
              </w:rPr>
            </w:pPr>
            <w:r w:rsidRPr="00311D75">
              <w:rPr>
                <w:i/>
                <w:iCs/>
              </w:rPr>
              <w:t>3) tasumisega viivitamise korral võib tarbijalt nõuda vaid viivist käesoleva seaduse § 113 lõike 1 teises lauses sätestatud määras ja võla sissenõudmiskulusid vastavalt käesoleva seaduse §-le 113</w:t>
            </w:r>
            <w:r w:rsidRPr="00311D75">
              <w:rPr>
                <w:i/>
                <w:iCs/>
                <w:vertAlign w:val="superscript"/>
              </w:rPr>
              <w:t>2</w:t>
            </w:r>
            <w:r w:rsidRPr="00311D75">
              <w:rPr>
                <w:i/>
                <w:iCs/>
              </w:rPr>
              <w:t>.“</w:t>
            </w:r>
          </w:p>
          <w:p w14:paraId="1862ABD2" w14:textId="3884530D" w:rsidR="00FE5700" w:rsidRDefault="00FE5700" w:rsidP="00FE5700">
            <w:r>
              <w:t xml:space="preserve">Juhul kui VÕS § 403 lõikes 8 sõnastust vastavalt muudetakse, siis palume lisada ka eelnõu seletuskirja </w:t>
            </w:r>
          </w:p>
          <w:p w14:paraId="4068A07C" w14:textId="77777777" w:rsidR="00FE5700" w:rsidRDefault="00FE5700" w:rsidP="00FE5700">
            <w:r>
              <w:t>täiendavad selgitused.</w:t>
            </w:r>
          </w:p>
          <w:p w14:paraId="4D5F0CBA" w14:textId="77777777" w:rsidR="00FF630F" w:rsidRDefault="00FF630F" w:rsidP="00FE5700"/>
          <w:p w14:paraId="4FC10331" w14:textId="1C664B5E" w:rsidR="00FF630F" w:rsidRDefault="00FF630F" w:rsidP="00FE5700"/>
        </w:tc>
        <w:tc>
          <w:tcPr>
            <w:tcW w:w="5016" w:type="dxa"/>
          </w:tcPr>
          <w:p w14:paraId="3CCC4787" w14:textId="796B9D41" w:rsidR="000179B5" w:rsidRDefault="02958C5E" w:rsidP="22CF8B80">
            <w:pPr>
              <w:rPr>
                <w:b/>
              </w:rPr>
            </w:pPr>
            <w:r w:rsidRPr="1357B667">
              <w:rPr>
                <w:b/>
              </w:rPr>
              <w:lastRenderedPageBreak/>
              <w:t>Mittearvestatud / Selgitatud.</w:t>
            </w:r>
          </w:p>
          <w:p w14:paraId="59198F17" w14:textId="2005727A" w:rsidR="000179B5" w:rsidRDefault="02958C5E" w:rsidP="48F5674E">
            <w:r w:rsidRPr="664848FB">
              <w:rPr>
                <w:rFonts w:eastAsia="Times New Roman"/>
                <w:color w:val="000000" w:themeColor="text1"/>
              </w:rPr>
              <w:t>Direktiiviga</w:t>
            </w:r>
            <w:r w:rsidRPr="1BE6D753">
              <w:rPr>
                <w:rFonts w:eastAsia="Times New Roman"/>
                <w:color w:val="000000" w:themeColor="text1"/>
              </w:rPr>
              <w:t xml:space="preserve"> ei </w:t>
            </w:r>
            <w:r w:rsidRPr="55849253">
              <w:rPr>
                <w:rFonts w:eastAsia="Times New Roman"/>
                <w:color w:val="000000" w:themeColor="text1"/>
              </w:rPr>
              <w:t>ole kahjuks</w:t>
            </w:r>
            <w:r w:rsidRPr="1BE6D753">
              <w:rPr>
                <w:rFonts w:eastAsia="Times New Roman"/>
                <w:color w:val="000000" w:themeColor="text1"/>
              </w:rPr>
              <w:t xml:space="preserve"> kooskõlas  ettepanek siduda selle konkreetse erandi rakendamine täiendava eeldusega, mille kohaseks peaks infoühiskonna teenuse pakkumine olema ettevõtja põhitegevuseks. Direktiivis endas ei ole sellist kitsendust, </w:t>
            </w:r>
            <w:r w:rsidRPr="26416F14">
              <w:rPr>
                <w:rFonts w:eastAsia="Times New Roman"/>
                <w:color w:val="000000" w:themeColor="text1"/>
              </w:rPr>
              <w:t>seetõttu</w:t>
            </w:r>
            <w:r w:rsidRPr="1BE6D753">
              <w:rPr>
                <w:rFonts w:eastAsia="Times New Roman"/>
                <w:color w:val="000000" w:themeColor="text1"/>
              </w:rPr>
              <w:t xml:space="preserve"> ei oleks selle riigisiseselt ettenägemine direktiiviga kooskõlas.</w:t>
            </w:r>
          </w:p>
          <w:p w14:paraId="186E495E" w14:textId="786C154A" w:rsidR="000179B5" w:rsidRDefault="000179B5" w:rsidP="48F5674E">
            <w:pPr>
              <w:rPr>
                <w:rFonts w:eastAsia="Times New Roman"/>
                <w:color w:val="000000" w:themeColor="text1"/>
              </w:rPr>
            </w:pPr>
          </w:p>
          <w:p w14:paraId="3AA452AE" w14:textId="02F0C69C" w:rsidR="000179B5" w:rsidRDefault="000179B5" w:rsidP="22CF8B80">
            <w:pPr>
              <w:rPr>
                <w:rFonts w:eastAsia="Times New Roman"/>
                <w:color w:val="000000" w:themeColor="text1"/>
              </w:rPr>
            </w:pPr>
          </w:p>
        </w:tc>
      </w:tr>
      <w:tr w:rsidR="002A6C9D" w14:paraId="35CAAA4C" w14:textId="77777777" w:rsidTr="00617FBE">
        <w:tc>
          <w:tcPr>
            <w:tcW w:w="10632" w:type="dxa"/>
            <w:gridSpan w:val="3"/>
          </w:tcPr>
          <w:p w14:paraId="585E5408" w14:textId="3420F79E" w:rsidR="009D2A10" w:rsidRPr="009D2A10" w:rsidRDefault="009D2A10" w:rsidP="009D2A10">
            <w:pPr>
              <w:rPr>
                <w:b/>
                <w:bCs/>
              </w:rPr>
            </w:pPr>
            <w:r w:rsidRPr="009D2A10">
              <w:rPr>
                <w:b/>
                <w:bCs/>
              </w:rPr>
              <w:lastRenderedPageBreak/>
              <w:t>Eesti Kaubandus-Tööstuskoda</w:t>
            </w:r>
          </w:p>
        </w:tc>
      </w:tr>
      <w:tr w:rsidR="002A6C9D" w14:paraId="3E903476" w14:textId="77777777" w:rsidTr="00617FBE">
        <w:tc>
          <w:tcPr>
            <w:tcW w:w="10632" w:type="dxa"/>
            <w:gridSpan w:val="3"/>
          </w:tcPr>
          <w:p w14:paraId="4A4B1C79" w14:textId="68EB6072" w:rsidR="00990149" w:rsidRDefault="004C3672" w:rsidP="00990149">
            <w:r>
              <w:t>Jõustumisaeg</w:t>
            </w:r>
          </w:p>
        </w:tc>
      </w:tr>
      <w:tr w:rsidR="00D22FD2" w14:paraId="13B60D9C" w14:textId="77777777" w:rsidTr="00617FBE">
        <w:tc>
          <w:tcPr>
            <w:tcW w:w="576" w:type="dxa"/>
          </w:tcPr>
          <w:p w14:paraId="3D3958ED" w14:textId="0E500BF1" w:rsidR="000179B5" w:rsidRDefault="00523ABE" w:rsidP="000179B5">
            <w:pPr>
              <w:jc w:val="center"/>
            </w:pPr>
            <w:r>
              <w:t>1</w:t>
            </w:r>
          </w:p>
        </w:tc>
        <w:tc>
          <w:tcPr>
            <w:tcW w:w="5040" w:type="dxa"/>
          </w:tcPr>
          <w:p w14:paraId="5C154F91" w14:textId="66BF4866" w:rsidR="000179B5" w:rsidRDefault="00523ABE" w:rsidP="000179B5">
            <w:r>
              <w:t>Ettepanek p</w:t>
            </w:r>
            <w:r w:rsidRPr="00523ABE">
              <w:t>ikendada seaduse rakendamise tähtaega selliselt, et ettevõtjatele jääks pärast seaduse vastuvõtmist vähemalt üks aasta muudatustega kohanemiseks ja nende elluviimiseks.  </w:t>
            </w:r>
          </w:p>
        </w:tc>
        <w:tc>
          <w:tcPr>
            <w:tcW w:w="5016" w:type="dxa"/>
          </w:tcPr>
          <w:p w14:paraId="6BC7FBB3" w14:textId="604E22CF" w:rsidR="000179B5" w:rsidRPr="00CB402E" w:rsidRDefault="318E93F4" w:rsidP="00523ABE">
            <w:r w:rsidRPr="1220C3B2">
              <w:rPr>
                <w:b/>
                <w:bCs/>
              </w:rPr>
              <w:t>Arvestatud osaliselt / Selgitatud.</w:t>
            </w:r>
            <w:r>
              <w:t xml:space="preserve"> </w:t>
            </w:r>
          </w:p>
          <w:p w14:paraId="0BD33117" w14:textId="5C37C9B4" w:rsidR="000179B5" w:rsidRPr="00CB402E" w:rsidRDefault="318E93F4" w:rsidP="00523ABE">
            <w:r>
              <w:t xml:space="preserve">Justiits- ja Digiministeerium mõistab praktilist vajadust eelnõu jõustumistähtaja edasilükkamise järele. </w:t>
            </w:r>
          </w:p>
          <w:p w14:paraId="3FB4C4A4" w14:textId="101EFE33" w:rsidR="000179B5" w:rsidRPr="00CB402E" w:rsidRDefault="318E93F4" w:rsidP="00523ABE">
            <w:r>
              <w:t xml:space="preserve">Eelnõuga on lükatud seaduse jõustumiskuupäeva võrreldes esialgu kavandatuga kuus kuud edasi. Sellest pikem edasilükkamine tekitaks oluliselt suurema rikkumismenetluse ohu. Seetõttu ei saa pikemat </w:t>
            </w:r>
            <w:r w:rsidR="31F9ABAC">
              <w:t>tähtaeg</w:t>
            </w:r>
            <w:r w:rsidR="769A3294">
              <w:t>a</w:t>
            </w:r>
            <w:r>
              <w:t xml:space="preserve"> ette näha. Kuid praktilisest vajadusest lähtuvalt lükatakse jõustumistähtaeg kuus kuud edasi.</w:t>
            </w:r>
          </w:p>
          <w:p w14:paraId="389A54DA" w14:textId="100549CE" w:rsidR="000179B5" w:rsidRPr="00CB402E" w:rsidRDefault="000179B5" w:rsidP="00523ABE">
            <w:pPr>
              <w:rPr>
                <w:highlight w:val="cyan"/>
              </w:rPr>
            </w:pPr>
          </w:p>
        </w:tc>
      </w:tr>
      <w:tr w:rsidR="002A6C9D" w14:paraId="07879F8F" w14:textId="77777777" w:rsidTr="00617FBE">
        <w:tc>
          <w:tcPr>
            <w:tcW w:w="10632" w:type="dxa"/>
            <w:gridSpan w:val="3"/>
          </w:tcPr>
          <w:p w14:paraId="17648D26" w14:textId="4F6374F4" w:rsidR="00523ABE" w:rsidRDefault="004C3672" w:rsidP="00523ABE">
            <w:r>
              <w:t>Võlaõigusseadus</w:t>
            </w:r>
          </w:p>
        </w:tc>
      </w:tr>
      <w:tr w:rsidR="00D22FD2" w14:paraId="746F8C7E" w14:textId="77777777" w:rsidTr="00617FBE">
        <w:tc>
          <w:tcPr>
            <w:tcW w:w="576" w:type="dxa"/>
          </w:tcPr>
          <w:p w14:paraId="7900DFA0" w14:textId="358A86EA" w:rsidR="000179B5" w:rsidRDefault="004C3672" w:rsidP="000179B5">
            <w:pPr>
              <w:jc w:val="center"/>
            </w:pPr>
            <w:r>
              <w:t>2</w:t>
            </w:r>
          </w:p>
        </w:tc>
        <w:tc>
          <w:tcPr>
            <w:tcW w:w="5040" w:type="dxa"/>
          </w:tcPr>
          <w:p w14:paraId="3190038C" w14:textId="48824CAB" w:rsidR="000179B5" w:rsidRDefault="002707DD" w:rsidP="000179B5">
            <w:r>
              <w:t>Ettepanek t</w:t>
            </w:r>
            <w:r w:rsidRPr="002707DD">
              <w:t>äpsustada eelnõu § 1 </w:t>
            </w:r>
            <w:proofErr w:type="spellStart"/>
            <w:r w:rsidRPr="002707DD">
              <w:t>p-i</w:t>
            </w:r>
            <w:proofErr w:type="spellEnd"/>
            <w:r w:rsidRPr="002707DD">
              <w:t> 27 selliselt, et tagasimaksegraafiku võib vajadusel esitada teabelehe lisana. </w:t>
            </w:r>
          </w:p>
        </w:tc>
        <w:tc>
          <w:tcPr>
            <w:tcW w:w="5016" w:type="dxa"/>
          </w:tcPr>
          <w:p w14:paraId="0945D418" w14:textId="5694F64F" w:rsidR="2CB62DF9" w:rsidRDefault="1061DCE3">
            <w:pPr>
              <w:rPr>
                <w:b/>
              </w:rPr>
            </w:pPr>
            <w:r w:rsidRPr="159711DE">
              <w:rPr>
                <w:b/>
              </w:rPr>
              <w:t xml:space="preserve">Arvestatud osaliselt / Selgitatud. </w:t>
            </w:r>
          </w:p>
          <w:p w14:paraId="7CE4E69A" w14:textId="3F1C2C35" w:rsidR="000179B5" w:rsidRDefault="1061DCE3" w:rsidP="00153A75">
            <w:r>
              <w:t>Arvestades direktiivi maksimaalselt harmoneerivat iseloomu, ei ole e</w:t>
            </w:r>
            <w:r w:rsidR="00153A75">
              <w:t xml:space="preserve">elnõud </w:t>
            </w:r>
            <w:r w:rsidR="0CF7A37B">
              <w:t xml:space="preserve">muudetud. Samas on eelnõu seletuskirja lisatud selgitus, mille kohaselt võib tagasimaksegraafiku esitada ka teabelehe lõpus või selle lisana. Teisisõnu, see ei pea mahtuma teabelehel esitatud tabeli paremasse veergu, vaid võib olla eraldiseisvalt </w:t>
            </w:r>
            <w:r w:rsidR="3546E1EF">
              <w:t xml:space="preserve">vormistatud. </w:t>
            </w:r>
            <w:r w:rsidR="4D263ED6">
              <w:t xml:space="preserve">Nõustume, et nii on see praktikas mõistlikum. </w:t>
            </w:r>
          </w:p>
        </w:tc>
      </w:tr>
      <w:tr w:rsidR="00D22FD2" w14:paraId="1947298D" w14:textId="77777777" w:rsidTr="00617FBE">
        <w:tc>
          <w:tcPr>
            <w:tcW w:w="576" w:type="dxa"/>
          </w:tcPr>
          <w:p w14:paraId="42FFDB0E" w14:textId="1E66836B" w:rsidR="000179B5" w:rsidRDefault="004C3672" w:rsidP="000179B5">
            <w:pPr>
              <w:jc w:val="center"/>
            </w:pPr>
            <w:r>
              <w:t>3</w:t>
            </w:r>
          </w:p>
        </w:tc>
        <w:tc>
          <w:tcPr>
            <w:tcW w:w="5040" w:type="dxa"/>
          </w:tcPr>
          <w:p w14:paraId="6C837EC7" w14:textId="30A5AFCA" w:rsidR="000179B5" w:rsidRPr="004955F9" w:rsidRDefault="004955F9" w:rsidP="000179B5">
            <w:r>
              <w:t xml:space="preserve">VÕS § </w:t>
            </w:r>
            <w:r w:rsidRPr="004955F9">
              <w:t>403</w:t>
            </w:r>
            <w:r w:rsidRPr="004955F9">
              <w:rPr>
                <w:vertAlign w:val="superscript"/>
              </w:rPr>
              <w:t>1</w:t>
            </w:r>
            <w:r w:rsidRPr="004955F9">
              <w:t> </w:t>
            </w:r>
            <w:r>
              <w:t>lg</w:t>
            </w:r>
            <w:r w:rsidRPr="004955F9">
              <w:t xml:space="preserve"> 2</w:t>
            </w:r>
            <w:r w:rsidRPr="004955F9">
              <w:rPr>
                <w:vertAlign w:val="superscript"/>
              </w:rPr>
              <w:t>1</w:t>
            </w:r>
            <w:r>
              <w:t xml:space="preserve"> - </w:t>
            </w:r>
            <w:r w:rsidR="000B488F">
              <w:t>t</w:t>
            </w:r>
            <w:r w:rsidR="000B488F" w:rsidRPr="000B488F">
              <w:t>äpsustada (nt seletuskirjas), mida mõistetakse ühe päeva all. </w:t>
            </w:r>
          </w:p>
        </w:tc>
        <w:tc>
          <w:tcPr>
            <w:tcW w:w="5016" w:type="dxa"/>
          </w:tcPr>
          <w:p w14:paraId="5A8EBCB0" w14:textId="12201AE0" w:rsidR="000179B5" w:rsidRDefault="6C750EF5" w:rsidP="343C9844">
            <w:pPr>
              <w:rPr>
                <w:b/>
                <w:bCs/>
              </w:rPr>
            </w:pPr>
            <w:r w:rsidRPr="343C9844">
              <w:rPr>
                <w:b/>
                <w:bCs/>
              </w:rPr>
              <w:t>Arvestatud / Selgitatud.</w:t>
            </w:r>
          </w:p>
          <w:p w14:paraId="0BA37834" w14:textId="7E2650F8" w:rsidR="000179B5" w:rsidRDefault="6C750EF5" w:rsidP="343C9844">
            <w:pPr>
              <w:rPr>
                <w:rFonts w:eastAsia="Times New Roman"/>
              </w:rPr>
            </w:pPr>
            <w:r w:rsidRPr="343C9844">
              <w:rPr>
                <w:rFonts w:eastAsia="Times New Roman"/>
              </w:rPr>
              <w:lastRenderedPageBreak/>
              <w:t>Ühe päeva all mõistetakse ühte 24 tunnist koosnevat päeva.</w:t>
            </w:r>
            <w:r w:rsidR="276B0D8A" w:rsidRPr="3C8810C6">
              <w:rPr>
                <w:rFonts w:eastAsia="Times New Roman"/>
              </w:rPr>
              <w:t xml:space="preserve"> Vastav selgitus on lisatud ka eelnõu seletuskirja. </w:t>
            </w:r>
          </w:p>
        </w:tc>
      </w:tr>
      <w:tr w:rsidR="00D22FD2" w14:paraId="48F4C1E7" w14:textId="77777777" w:rsidTr="00617FBE">
        <w:tc>
          <w:tcPr>
            <w:tcW w:w="576" w:type="dxa"/>
          </w:tcPr>
          <w:p w14:paraId="5A11C4B6" w14:textId="5DCC737D" w:rsidR="000179B5" w:rsidRDefault="004C3672" w:rsidP="000179B5">
            <w:pPr>
              <w:jc w:val="center"/>
            </w:pPr>
            <w:r>
              <w:lastRenderedPageBreak/>
              <w:t>4</w:t>
            </w:r>
          </w:p>
        </w:tc>
        <w:tc>
          <w:tcPr>
            <w:tcW w:w="5040" w:type="dxa"/>
          </w:tcPr>
          <w:p w14:paraId="76B466AF" w14:textId="7629F7E9" w:rsidR="000179B5" w:rsidRDefault="00FE45CC" w:rsidP="000179B5">
            <w:r>
              <w:t xml:space="preserve">VÕS § </w:t>
            </w:r>
            <w:r w:rsidR="00B8591B">
              <w:t>404 lg 2 p 15 - p</w:t>
            </w:r>
            <w:r w:rsidRPr="00FE45CC">
              <w:t>alume kaaluda lahendust, kus</w:t>
            </w:r>
            <w:r w:rsidR="00B8591B">
              <w:t xml:space="preserve"> </w:t>
            </w:r>
            <w:r w:rsidRPr="00FE45CC">
              <w:t>riik</w:t>
            </w:r>
            <w:r w:rsidR="00B8591B">
              <w:t xml:space="preserve"> </w:t>
            </w:r>
            <w:r w:rsidRPr="00FE45CC">
              <w:t>peab ajakohast nimekirja võlanõustamisteenuste osutajatest</w:t>
            </w:r>
            <w:r w:rsidR="00B8591B">
              <w:t xml:space="preserve"> </w:t>
            </w:r>
            <w:r w:rsidRPr="00FE45CC">
              <w:t>ning ettevõtjatel oleks võimalik lepingudokumentides viidata sellele nimekirjale, mitte esitada lepingus konkreetseid kontaktandmeid. Selline lahendus aitaks tagada tarbijatele alati ajakohase teabe ning vähendaks ettevõtjate halduskoormust. </w:t>
            </w:r>
          </w:p>
        </w:tc>
        <w:tc>
          <w:tcPr>
            <w:tcW w:w="5016" w:type="dxa"/>
          </w:tcPr>
          <w:p w14:paraId="315E87FE" w14:textId="3AFB24E3" w:rsidR="343C9844" w:rsidRDefault="41E2B625" w:rsidP="6AFEB5E7">
            <w:r w:rsidRPr="791FF79F">
              <w:rPr>
                <w:b/>
              </w:rPr>
              <w:t>Arvestatud osaliselt / Selgitatud</w:t>
            </w:r>
            <w:r>
              <w:t xml:space="preserve">. </w:t>
            </w:r>
          </w:p>
          <w:p w14:paraId="3BDF76B4" w14:textId="2BE0DFB9" w:rsidR="000179B5" w:rsidRDefault="7790B2DD" w:rsidP="3DDDF6FE">
            <w:pPr>
              <w:rPr>
                <w:rFonts w:eastAsia="Times New Roman"/>
              </w:rPr>
            </w:pPr>
            <w:r>
              <w:t xml:space="preserve">Eelnõu seletuskirja on täpsustatud. </w:t>
            </w:r>
            <w:r w:rsidR="590F8B62" w:rsidRPr="40AE95D2">
              <w:rPr>
                <w:rFonts w:eastAsia="Times New Roman"/>
              </w:rPr>
              <w:t>Krediidiandjal ei ole kohustust ise lepingusse kõikvõimalike Eestis tegutsevate võlanõustajate kontaktandmeid lisada</w:t>
            </w:r>
            <w:r w:rsidR="59B42463" w:rsidRPr="7C3CE6FA">
              <w:rPr>
                <w:rFonts w:eastAsia="Times New Roman"/>
              </w:rPr>
              <w:t>.</w:t>
            </w:r>
            <w:r w:rsidR="590F8B62">
              <w:t xml:space="preserve"> </w:t>
            </w:r>
            <w:r>
              <w:t>Tarbija teavitamisel piisab sellest, kui viidata võlanõust</w:t>
            </w:r>
            <w:r w:rsidR="0B50CFD6">
              <w:t xml:space="preserve">ajate kontaktandmeid </w:t>
            </w:r>
            <w:r w:rsidR="39CD4A88">
              <w:t xml:space="preserve">sisaldavale </w:t>
            </w:r>
            <w:r w:rsidR="39CD4A88" w:rsidRPr="5E287C8E">
              <w:rPr>
                <w:rFonts w:eastAsia="Times New Roman"/>
              </w:rPr>
              <w:t xml:space="preserve"> usaldusväärsele veebilehele, mis lepingu sõlmimise ajal võlanõustamise ja võlanõustajate infot koondab. </w:t>
            </w:r>
          </w:p>
          <w:p w14:paraId="64F03CAB" w14:textId="4080B8AC" w:rsidR="72C1C5DE" w:rsidRDefault="72C1C5DE" w:rsidP="72C1C5DE">
            <w:pPr>
              <w:rPr>
                <w:rFonts w:eastAsia="Times New Roman"/>
              </w:rPr>
            </w:pPr>
          </w:p>
          <w:p w14:paraId="4D6369AE" w14:textId="152BB529" w:rsidR="000179B5" w:rsidRDefault="39CD4A88" w:rsidP="1200B9E9">
            <w:pPr>
              <w:rPr>
                <w:rFonts w:eastAsia="Times New Roman"/>
              </w:rPr>
            </w:pPr>
            <w:r w:rsidRPr="5E287C8E">
              <w:rPr>
                <w:rFonts w:eastAsia="Times New Roman"/>
              </w:rPr>
              <w:t xml:space="preserve">Eelnõu koostamise ajal on sellisteks veebilehtedeks näiteks Finantsinspektsiooni hallatav minuraha.ee ning võlanõustajate liidu veebileht. </w:t>
            </w:r>
            <w:r w:rsidR="3FEA6F7A" w:rsidRPr="75688804">
              <w:rPr>
                <w:rFonts w:eastAsia="Times New Roman"/>
              </w:rPr>
              <w:t xml:space="preserve">Olemasolevad andmed </w:t>
            </w:r>
            <w:r w:rsidR="3FEA6F7A" w:rsidRPr="4AF2B52F">
              <w:rPr>
                <w:rFonts w:eastAsia="Times New Roman"/>
              </w:rPr>
              <w:t>minuraha.ee veebilehel ja</w:t>
            </w:r>
            <w:r w:rsidR="3FEA6F7A" w:rsidRPr="68E8C527">
              <w:rPr>
                <w:rFonts w:eastAsia="Times New Roman"/>
              </w:rPr>
              <w:t xml:space="preserve"> </w:t>
            </w:r>
            <w:r w:rsidR="3FEA6F7A" w:rsidRPr="3E9691F3">
              <w:rPr>
                <w:rFonts w:eastAsia="Times New Roman"/>
              </w:rPr>
              <w:t>võlanõustajate</w:t>
            </w:r>
            <w:r w:rsidR="3FEA6F7A" w:rsidRPr="68E8C527">
              <w:rPr>
                <w:rFonts w:eastAsia="Times New Roman"/>
              </w:rPr>
              <w:t xml:space="preserve"> liidu </w:t>
            </w:r>
            <w:r w:rsidR="3FEA6F7A" w:rsidRPr="1E730B31">
              <w:rPr>
                <w:rFonts w:eastAsia="Times New Roman"/>
              </w:rPr>
              <w:t xml:space="preserve">veebilehel </w:t>
            </w:r>
            <w:r w:rsidR="3EFE7AB2" w:rsidRPr="5B49DE8B">
              <w:rPr>
                <w:rFonts w:eastAsia="Times New Roman"/>
              </w:rPr>
              <w:t xml:space="preserve">on Justiits- ja </w:t>
            </w:r>
            <w:r w:rsidR="3EFE7AB2" w:rsidRPr="55D2A632">
              <w:rPr>
                <w:rFonts w:eastAsia="Times New Roman"/>
              </w:rPr>
              <w:t xml:space="preserve">Digiministeeriumi hinnangul piisavad. </w:t>
            </w:r>
            <w:r w:rsidR="3FEA6F7A" w:rsidRPr="55D2A632">
              <w:rPr>
                <w:rFonts w:eastAsia="Times New Roman"/>
              </w:rPr>
              <w:t xml:space="preserve"> </w:t>
            </w:r>
            <w:r w:rsidR="6E13E85D" w:rsidRPr="153D4C72">
              <w:rPr>
                <w:rFonts w:eastAsia="Times New Roman"/>
              </w:rPr>
              <w:t>Seetõttu ei plaani riik praegu ise täiendavat võlanõustajate nimekirja pidama hakata.</w:t>
            </w:r>
          </w:p>
          <w:p w14:paraId="01D44F59" w14:textId="0BD2439A" w:rsidR="000179B5" w:rsidRDefault="000179B5" w:rsidP="6AFEB5E7">
            <w:pPr>
              <w:rPr>
                <w:rFonts w:eastAsia="Times New Roman"/>
              </w:rPr>
            </w:pPr>
          </w:p>
        </w:tc>
      </w:tr>
      <w:tr w:rsidR="00D22FD2" w14:paraId="12A3EE39" w14:textId="77777777" w:rsidTr="00617FBE">
        <w:tc>
          <w:tcPr>
            <w:tcW w:w="576" w:type="dxa"/>
          </w:tcPr>
          <w:p w14:paraId="70BF9A14" w14:textId="07777787" w:rsidR="000179B5" w:rsidRDefault="004C3672" w:rsidP="000179B5">
            <w:pPr>
              <w:jc w:val="center"/>
            </w:pPr>
            <w:r>
              <w:t>5</w:t>
            </w:r>
          </w:p>
        </w:tc>
        <w:tc>
          <w:tcPr>
            <w:tcW w:w="5040" w:type="dxa"/>
          </w:tcPr>
          <w:p w14:paraId="0186D5F9" w14:textId="757EC1B3" w:rsidR="000179B5" w:rsidRDefault="0021623C" w:rsidP="000179B5">
            <w:r>
              <w:t xml:space="preserve">VÕS § </w:t>
            </w:r>
            <w:r w:rsidRPr="0021623C">
              <w:t xml:space="preserve">407 </w:t>
            </w:r>
            <w:r>
              <w:t>lg</w:t>
            </w:r>
            <w:r w:rsidRPr="0021623C">
              <w:t xml:space="preserve"> </w:t>
            </w:r>
            <w:r w:rsidRPr="00D403C3">
              <w:t>4</w:t>
            </w:r>
            <w:r w:rsidR="00D403C3">
              <w:rPr>
                <w:vertAlign w:val="superscript"/>
              </w:rPr>
              <w:t>2</w:t>
            </w:r>
            <w:r w:rsidR="00D403C3">
              <w:t xml:space="preserve"> – ettepanek t</w:t>
            </w:r>
            <w:r w:rsidRPr="00D403C3">
              <w:t>äiendada</w:t>
            </w:r>
            <w:r w:rsidRPr="0021623C">
              <w:t xml:space="preserve"> eelnõu seletuskirja selles osas, mida loetakse maksekonto jäägi „sagedaseks ületamiseks“. Lisaks selgitada, kas ettevõtja peab nõustamisteenust ise osutama või piisab tarbija suunamisest asjakohaste teenuste juurde. </w:t>
            </w:r>
          </w:p>
        </w:tc>
        <w:tc>
          <w:tcPr>
            <w:tcW w:w="5016" w:type="dxa"/>
          </w:tcPr>
          <w:p w14:paraId="742480CD" w14:textId="687A871D" w:rsidR="000179B5" w:rsidRDefault="182622C4" w:rsidP="5E307155">
            <w:r w:rsidRPr="3BC57221">
              <w:rPr>
                <w:b/>
              </w:rPr>
              <w:t xml:space="preserve">Arvestatud osaliselt / </w:t>
            </w:r>
            <w:r w:rsidR="58462434" w:rsidRPr="3BC57221">
              <w:rPr>
                <w:b/>
              </w:rPr>
              <w:t>Selgitatud</w:t>
            </w:r>
            <w:r w:rsidR="58462434">
              <w:t>.</w:t>
            </w:r>
          </w:p>
          <w:p w14:paraId="3BA71DF4" w14:textId="204AC966" w:rsidR="000179B5" w:rsidRDefault="49A2A6AD" w:rsidP="10638F49">
            <w:pPr>
              <w:rPr>
                <w:rFonts w:eastAsia="Times New Roman"/>
              </w:rPr>
            </w:pPr>
            <w:r w:rsidRPr="5BF3840D">
              <w:rPr>
                <w:rFonts w:eastAsia="Times New Roman"/>
              </w:rPr>
              <w:t xml:space="preserve">Eelnõu </w:t>
            </w:r>
            <w:r w:rsidRPr="153D4C72">
              <w:rPr>
                <w:rFonts w:eastAsia="Times New Roman"/>
              </w:rPr>
              <w:t>s</w:t>
            </w:r>
            <w:r w:rsidR="3493BFE2" w:rsidRPr="153D4C72">
              <w:rPr>
                <w:rFonts w:eastAsia="Times New Roman"/>
              </w:rPr>
              <w:t xml:space="preserve">õnastust on täpsustatud ja </w:t>
            </w:r>
            <w:r w:rsidRPr="5BF3840D">
              <w:rPr>
                <w:rFonts w:eastAsia="Times New Roman"/>
              </w:rPr>
              <w:t xml:space="preserve">seletuskirja on </w:t>
            </w:r>
            <w:r w:rsidRPr="10638F49">
              <w:rPr>
                <w:rFonts w:eastAsia="Times New Roman"/>
              </w:rPr>
              <w:t>täiendatu</w:t>
            </w:r>
            <w:r w:rsidR="77AF5054" w:rsidRPr="10638F49">
              <w:rPr>
                <w:rFonts w:eastAsia="Times New Roman"/>
              </w:rPr>
              <w:t xml:space="preserve">d. </w:t>
            </w:r>
          </w:p>
          <w:p w14:paraId="5AF471E5" w14:textId="0CC600D4" w:rsidR="000179B5" w:rsidRDefault="000179B5" w:rsidP="10638F49">
            <w:pPr>
              <w:rPr>
                <w:rFonts w:eastAsia="Times New Roman"/>
              </w:rPr>
            </w:pPr>
          </w:p>
          <w:p w14:paraId="7A200627" w14:textId="2D18E9A7" w:rsidR="000179B5" w:rsidRDefault="77AF5054" w:rsidP="5DEF1F14">
            <w:pPr>
              <w:rPr>
                <w:rFonts w:eastAsia="Times New Roman"/>
              </w:rPr>
            </w:pPr>
            <w:r w:rsidRPr="10638F49">
              <w:rPr>
                <w:rFonts w:eastAsia="Times New Roman"/>
              </w:rPr>
              <w:t xml:space="preserve">Esiteks on lisatud seletuskirja </w:t>
            </w:r>
            <w:r w:rsidR="49A2A6AD" w:rsidRPr="10638F49">
              <w:rPr>
                <w:rFonts w:eastAsia="Times New Roman"/>
              </w:rPr>
              <w:t>lisaselgitus</w:t>
            </w:r>
            <w:r w:rsidR="415D7C68" w:rsidRPr="10638F49">
              <w:rPr>
                <w:rFonts w:eastAsia="Times New Roman"/>
              </w:rPr>
              <w:t>ed</w:t>
            </w:r>
            <w:r w:rsidR="49A2A6AD" w:rsidRPr="5BF3840D">
              <w:rPr>
                <w:rFonts w:eastAsia="Times New Roman"/>
              </w:rPr>
              <w:t xml:space="preserve"> </w:t>
            </w:r>
            <w:r w:rsidR="49A2A6AD" w:rsidRPr="3CA58316">
              <w:rPr>
                <w:rFonts w:eastAsia="Times New Roman"/>
              </w:rPr>
              <w:t>l</w:t>
            </w:r>
            <w:r w:rsidR="2F835CA2" w:rsidRPr="3CA58316">
              <w:rPr>
                <w:rFonts w:eastAsia="Times New Roman"/>
              </w:rPr>
              <w:t>õike</w:t>
            </w:r>
            <w:r w:rsidR="49A2A6AD" w:rsidRPr="5BF3840D">
              <w:rPr>
                <w:rFonts w:eastAsia="Times New Roman"/>
              </w:rPr>
              <w:t xml:space="preserve"> 4</w:t>
            </w:r>
            <w:r w:rsidR="49A2A6AD" w:rsidRPr="5BF3840D">
              <w:rPr>
                <w:rFonts w:eastAsia="Times New Roman"/>
                <w:vertAlign w:val="superscript"/>
              </w:rPr>
              <w:t>2</w:t>
            </w:r>
            <w:r w:rsidR="49A2A6AD" w:rsidRPr="5BF3840D">
              <w:rPr>
                <w:rFonts w:eastAsia="Times New Roman"/>
              </w:rPr>
              <w:t xml:space="preserve"> tähenduse j</w:t>
            </w:r>
            <w:r w:rsidR="4D3A2095" w:rsidRPr="5BF3840D">
              <w:rPr>
                <w:rFonts w:eastAsia="Times New Roman"/>
              </w:rPr>
              <w:t>a selle seoste kohta sama paragrahvi</w:t>
            </w:r>
            <w:r w:rsidR="49A2A6AD" w:rsidRPr="5BF3840D">
              <w:rPr>
                <w:rFonts w:eastAsia="Times New Roman"/>
              </w:rPr>
              <w:t xml:space="preserve"> </w:t>
            </w:r>
            <w:r w:rsidR="49A2A6AD" w:rsidRPr="3CA58316">
              <w:rPr>
                <w:rFonts w:eastAsia="Times New Roman"/>
              </w:rPr>
              <w:t>lõi</w:t>
            </w:r>
            <w:r w:rsidR="6B867EF5" w:rsidRPr="3CA58316">
              <w:rPr>
                <w:rFonts w:eastAsia="Times New Roman"/>
              </w:rPr>
              <w:t>k</w:t>
            </w:r>
            <w:r w:rsidR="49A2A6AD" w:rsidRPr="3CA58316">
              <w:rPr>
                <w:rFonts w:eastAsia="Times New Roman"/>
              </w:rPr>
              <w:t>e</w:t>
            </w:r>
            <w:r w:rsidR="18ADC0F2" w:rsidRPr="3CA58316">
              <w:rPr>
                <w:rFonts w:eastAsia="Times New Roman"/>
              </w:rPr>
              <w:t>g</w:t>
            </w:r>
            <w:r w:rsidR="39D20C96" w:rsidRPr="3CA58316">
              <w:rPr>
                <w:rFonts w:eastAsia="Times New Roman"/>
              </w:rPr>
              <w:t>a</w:t>
            </w:r>
            <w:r w:rsidR="49A2A6AD" w:rsidRPr="5BF3840D">
              <w:rPr>
                <w:rFonts w:eastAsia="Times New Roman"/>
              </w:rPr>
              <w:t xml:space="preserve"> 4</w:t>
            </w:r>
            <w:r w:rsidR="46A54646" w:rsidRPr="5BF3840D">
              <w:rPr>
                <w:rFonts w:eastAsia="Times New Roman"/>
                <w:vertAlign w:val="superscript"/>
              </w:rPr>
              <w:t>1</w:t>
            </w:r>
            <w:r w:rsidR="4B5263AD" w:rsidRPr="5BF3840D">
              <w:rPr>
                <w:rFonts w:eastAsia="Times New Roman"/>
              </w:rPr>
              <w:t xml:space="preserve">. </w:t>
            </w:r>
            <w:r w:rsidR="0BF77C36" w:rsidRPr="0F58F8DB">
              <w:rPr>
                <w:rFonts w:eastAsia="Times New Roman"/>
              </w:rPr>
              <w:t>Lõige 4</w:t>
            </w:r>
            <w:r w:rsidR="0BF77C36" w:rsidRPr="0F58F8DB">
              <w:rPr>
                <w:rFonts w:eastAsia="Times New Roman"/>
                <w:vertAlign w:val="superscript"/>
              </w:rPr>
              <w:t>1</w:t>
            </w:r>
            <w:r w:rsidR="0BF77C36" w:rsidRPr="0F58F8DB">
              <w:rPr>
                <w:rFonts w:eastAsia="Times New Roman"/>
              </w:rPr>
              <w:t xml:space="preserve"> seab teavitamisele üldised raamid ja lõige 4</w:t>
            </w:r>
            <w:r w:rsidR="0BF77C36" w:rsidRPr="0F58F8DB">
              <w:rPr>
                <w:rFonts w:eastAsia="Times New Roman"/>
                <w:vertAlign w:val="superscript"/>
              </w:rPr>
              <w:t>2</w:t>
            </w:r>
            <w:r w:rsidR="0BF77C36" w:rsidRPr="0F58F8DB">
              <w:rPr>
                <w:rFonts w:eastAsia="Times New Roman"/>
              </w:rPr>
              <w:t xml:space="preserve"> täpsustab seda veel ühes spetsiifilises eriolukorras.  </w:t>
            </w:r>
            <w:r w:rsidR="172A6C4A" w:rsidRPr="5BF3840D">
              <w:rPr>
                <w:rFonts w:eastAsia="Times New Roman"/>
              </w:rPr>
              <w:t>Makse</w:t>
            </w:r>
            <w:r w:rsidR="172A6C4A" w:rsidRPr="4B25C326">
              <w:rPr>
                <w:rFonts w:eastAsia="Times New Roman"/>
              </w:rPr>
              <w:t>konto</w:t>
            </w:r>
            <w:r w:rsidR="172A6C4A" w:rsidRPr="59EFB2C8">
              <w:rPr>
                <w:rFonts w:eastAsia="Times New Roman"/>
              </w:rPr>
              <w:t xml:space="preserve"> jäägi „sagedane“ ületamine on </w:t>
            </w:r>
            <w:r w:rsidR="5075A300" w:rsidRPr="3F1DB2A4">
              <w:rPr>
                <w:rFonts w:eastAsia="Times New Roman"/>
              </w:rPr>
              <w:t xml:space="preserve">aga </w:t>
            </w:r>
            <w:r w:rsidR="172A6C4A" w:rsidRPr="3F1DB2A4">
              <w:rPr>
                <w:rFonts w:eastAsia="Times New Roman"/>
              </w:rPr>
              <w:t>määratlemata</w:t>
            </w:r>
            <w:r w:rsidR="172A6C4A" w:rsidRPr="59EFB2C8">
              <w:rPr>
                <w:rFonts w:eastAsia="Times New Roman"/>
              </w:rPr>
              <w:t xml:space="preserve"> õigusmõiste, millele saab lõpliku tõlgenduse anda Euroopa Kohus. Eeltoodut on kinnitanud ka Euroopa Komisjon. Sellest tulenevalt ei ole võimalik anda ühest määratlust selle osas, millistel eeldustel on tegemist </w:t>
            </w:r>
            <w:r w:rsidR="4B08F1B9" w:rsidRPr="536A8A7C">
              <w:rPr>
                <w:rFonts w:eastAsia="Times New Roman"/>
              </w:rPr>
              <w:t xml:space="preserve">maksekonto </w:t>
            </w:r>
            <w:r w:rsidR="172A6C4A" w:rsidRPr="59EFB2C8">
              <w:rPr>
                <w:rFonts w:eastAsia="Times New Roman"/>
              </w:rPr>
              <w:t>„sagedase“ ületamisega. Üldisemalt on võimalik väita, et selline maksekonto jäägi ületamine peab olema toimunud korduvalt.</w:t>
            </w:r>
          </w:p>
          <w:p w14:paraId="6F6D23E9" w14:textId="02ED2817" w:rsidR="10638F49" w:rsidRDefault="10638F49" w:rsidP="10638F49">
            <w:pPr>
              <w:rPr>
                <w:rFonts w:eastAsia="Times New Roman"/>
              </w:rPr>
            </w:pPr>
          </w:p>
          <w:p w14:paraId="2CCB69BB" w14:textId="21CE4FBF" w:rsidR="000179B5" w:rsidRDefault="205FF1C4" w:rsidP="2E1FC808">
            <w:pPr>
              <w:rPr>
                <w:rFonts w:eastAsia="Times New Roman"/>
              </w:rPr>
            </w:pPr>
            <w:r w:rsidRPr="0BF41548">
              <w:rPr>
                <w:rFonts w:eastAsia="Times New Roman"/>
              </w:rPr>
              <w:t>Teiseks on eelnõus muudetud lõike 4</w:t>
            </w:r>
            <w:r w:rsidRPr="0BF41548">
              <w:rPr>
                <w:rFonts w:eastAsia="Times New Roman"/>
                <w:vertAlign w:val="superscript"/>
              </w:rPr>
              <w:t>2</w:t>
            </w:r>
            <w:r w:rsidRPr="0BF41548">
              <w:rPr>
                <w:rFonts w:eastAsia="Times New Roman"/>
              </w:rPr>
              <w:t xml:space="preserve"> sõnastust nii, et see vastaks täpsemalt direktiivi artikli 25 </w:t>
            </w:r>
            <w:r w:rsidRPr="5492F80A">
              <w:rPr>
                <w:rFonts w:eastAsia="Times New Roman"/>
              </w:rPr>
              <w:t xml:space="preserve">lõike 2 teise alalõigu sõnastusele. </w:t>
            </w:r>
            <w:r w:rsidRPr="541D81E8">
              <w:rPr>
                <w:rFonts w:eastAsia="Times New Roman"/>
              </w:rPr>
              <w:t>Nõustamis</w:t>
            </w:r>
            <w:r w:rsidR="33142E72" w:rsidRPr="541D81E8">
              <w:rPr>
                <w:rFonts w:eastAsia="Times New Roman"/>
              </w:rPr>
              <w:t xml:space="preserve">teenuseid tuleb pakkuda üksnes juhul, kui need on kättesaadavad. </w:t>
            </w:r>
            <w:r w:rsidR="33142E72" w:rsidRPr="1982E502">
              <w:rPr>
                <w:rFonts w:eastAsia="Times New Roman"/>
              </w:rPr>
              <w:t xml:space="preserve">Siin on silmas peetud, et krediidiandja pakub neid siis, kui ta ise sellist teenust osutab. Võlanõustamist kui sotsiaalteenust peab krediidiandja tarbijale alati </w:t>
            </w:r>
            <w:r w:rsidR="50858714" w:rsidRPr="1982E502">
              <w:rPr>
                <w:rFonts w:eastAsia="Times New Roman"/>
              </w:rPr>
              <w:t xml:space="preserve">soovitama. </w:t>
            </w:r>
            <w:r w:rsidR="50858714" w:rsidRPr="1982E502">
              <w:rPr>
                <w:rFonts w:eastAsia="Times New Roman"/>
              </w:rPr>
              <w:lastRenderedPageBreak/>
              <w:t xml:space="preserve">Eelnõu seletuskirjas on </w:t>
            </w:r>
            <w:r w:rsidR="50858714" w:rsidRPr="447FF5AF">
              <w:rPr>
                <w:rFonts w:eastAsia="Times New Roman"/>
              </w:rPr>
              <w:t xml:space="preserve">seda ka täpsemalt </w:t>
            </w:r>
            <w:r w:rsidR="50858714" w:rsidRPr="53FC19C5">
              <w:rPr>
                <w:rFonts w:eastAsia="Times New Roman"/>
              </w:rPr>
              <w:t xml:space="preserve">selgitatud. </w:t>
            </w:r>
          </w:p>
        </w:tc>
      </w:tr>
      <w:tr w:rsidR="002A6C9D" w14:paraId="510B4B78" w14:textId="77777777" w:rsidTr="00617FBE">
        <w:tc>
          <w:tcPr>
            <w:tcW w:w="10632" w:type="dxa"/>
            <w:gridSpan w:val="3"/>
          </w:tcPr>
          <w:p w14:paraId="4CCC349D" w14:textId="6649F18E" w:rsidR="00236998" w:rsidRPr="00CB402E" w:rsidRDefault="00236998" w:rsidP="00236998">
            <w:pPr>
              <w:rPr>
                <w:b/>
                <w:bCs/>
              </w:rPr>
            </w:pPr>
            <w:r w:rsidRPr="00CB402E">
              <w:rPr>
                <w:b/>
                <w:bCs/>
              </w:rPr>
              <w:lastRenderedPageBreak/>
              <w:t>LiisingLiit</w:t>
            </w:r>
          </w:p>
        </w:tc>
      </w:tr>
      <w:tr w:rsidR="002A6C9D" w14:paraId="2687B20C" w14:textId="77777777" w:rsidTr="00617FBE">
        <w:tc>
          <w:tcPr>
            <w:tcW w:w="10632" w:type="dxa"/>
            <w:gridSpan w:val="3"/>
          </w:tcPr>
          <w:p w14:paraId="201025D2" w14:textId="48A32077" w:rsidR="00CB402E" w:rsidRDefault="004C3672" w:rsidP="00CB402E">
            <w:pPr>
              <w:jc w:val="left"/>
            </w:pPr>
            <w:r>
              <w:t>Jõustumisaeg</w:t>
            </w:r>
          </w:p>
        </w:tc>
      </w:tr>
      <w:tr w:rsidR="00D22FD2" w14:paraId="5A0D1382" w14:textId="77777777" w:rsidTr="00617FBE">
        <w:tc>
          <w:tcPr>
            <w:tcW w:w="576" w:type="dxa"/>
          </w:tcPr>
          <w:p w14:paraId="3EC63826" w14:textId="0D3125DA" w:rsidR="000179B5" w:rsidRDefault="004C3672" w:rsidP="000179B5">
            <w:pPr>
              <w:jc w:val="center"/>
            </w:pPr>
            <w:r>
              <w:t>1</w:t>
            </w:r>
          </w:p>
        </w:tc>
        <w:tc>
          <w:tcPr>
            <w:tcW w:w="5040" w:type="dxa"/>
          </w:tcPr>
          <w:p w14:paraId="5564CFB6" w14:textId="7E92E91A" w:rsidR="000179B5" w:rsidRDefault="005365FD" w:rsidP="000179B5">
            <w:r>
              <w:t>E</w:t>
            </w:r>
            <w:r w:rsidR="003D5E1A" w:rsidRPr="003D5E1A">
              <w:t>ttepanek</w:t>
            </w:r>
            <w:r>
              <w:t xml:space="preserve"> </w:t>
            </w:r>
            <w:r w:rsidR="003D5E1A" w:rsidRPr="003D5E1A">
              <w:t>sätestada ülevõtmiseks pikem tähtaeg</w:t>
            </w:r>
            <w:r w:rsidR="00D10E2E">
              <w:t xml:space="preserve"> </w:t>
            </w:r>
            <w:r w:rsidR="003D5E1A" w:rsidRPr="003D5E1A">
              <w:t>- 1 aasta seaduse vastuvõtmisest.</w:t>
            </w:r>
          </w:p>
        </w:tc>
        <w:tc>
          <w:tcPr>
            <w:tcW w:w="5016" w:type="dxa"/>
          </w:tcPr>
          <w:p w14:paraId="73D4E1EA" w14:textId="3F60AFE1" w:rsidR="000179B5" w:rsidRDefault="5BBB535B" w:rsidP="1220C3B2">
            <w:r w:rsidRPr="1220C3B2">
              <w:rPr>
                <w:b/>
                <w:bCs/>
              </w:rPr>
              <w:t>Arvestatud osaliselt / Selgitatud.</w:t>
            </w:r>
            <w:r>
              <w:t xml:space="preserve"> </w:t>
            </w:r>
          </w:p>
          <w:p w14:paraId="39698493" w14:textId="5C37C9B4" w:rsidR="000179B5" w:rsidRDefault="5BBB535B" w:rsidP="1220C3B2">
            <w:r>
              <w:t xml:space="preserve">Justiits- ja Digiministeerium mõistab praktilist vajadust eelnõu jõustumistähtaja edasilükkamise järele. </w:t>
            </w:r>
          </w:p>
          <w:p w14:paraId="31165ACF" w14:textId="1619DDEA" w:rsidR="000179B5" w:rsidRDefault="5BBB535B" w:rsidP="1220C3B2">
            <w:r>
              <w:t xml:space="preserve">Eelnõuga on lükatud seaduse jõustumiskuupäeva võrreldes esialgu kavandatuga kuus kuud edasi. Sellest pikem edasilükkamine tekitaks oluliselt suurema rikkumismenetluse ohu. Seetõttu ei saa pikemat </w:t>
            </w:r>
            <w:r w:rsidR="0A1912D3">
              <w:t>tähtaeg</w:t>
            </w:r>
            <w:r w:rsidR="19EBCB3B">
              <w:t>a</w:t>
            </w:r>
            <w:r>
              <w:t xml:space="preserve"> ette näha. Kuid praktilisest vajadusest lähtuvalt lükatakse jõustumistähtaeg kuus kuud edasi.</w:t>
            </w:r>
          </w:p>
          <w:p w14:paraId="17816504" w14:textId="5CDCFA55" w:rsidR="000179B5" w:rsidRDefault="000179B5" w:rsidP="000179B5">
            <w:pPr>
              <w:jc w:val="center"/>
            </w:pPr>
          </w:p>
        </w:tc>
      </w:tr>
      <w:tr w:rsidR="002A6C9D" w14:paraId="27F20367" w14:textId="77777777" w:rsidTr="00617FBE">
        <w:tc>
          <w:tcPr>
            <w:tcW w:w="10632" w:type="dxa"/>
            <w:gridSpan w:val="3"/>
          </w:tcPr>
          <w:p w14:paraId="2308E97C" w14:textId="7B7FF132" w:rsidR="003518F1" w:rsidRDefault="004C3672" w:rsidP="003518F1">
            <w:pPr>
              <w:jc w:val="left"/>
            </w:pPr>
            <w:r>
              <w:t>Võlaõigusseadus</w:t>
            </w:r>
          </w:p>
        </w:tc>
      </w:tr>
      <w:tr w:rsidR="00D22FD2" w14:paraId="58CCAA46" w14:textId="77777777" w:rsidTr="00617FBE">
        <w:tc>
          <w:tcPr>
            <w:tcW w:w="576" w:type="dxa"/>
          </w:tcPr>
          <w:p w14:paraId="42B23FE3" w14:textId="765513FB" w:rsidR="000179B5" w:rsidRDefault="004C3672" w:rsidP="000179B5">
            <w:pPr>
              <w:jc w:val="center"/>
            </w:pPr>
            <w:r>
              <w:t>1</w:t>
            </w:r>
          </w:p>
        </w:tc>
        <w:tc>
          <w:tcPr>
            <w:tcW w:w="5040" w:type="dxa"/>
          </w:tcPr>
          <w:p w14:paraId="551C78A7" w14:textId="77777777" w:rsidR="003518F1" w:rsidRPr="003518F1" w:rsidRDefault="003518F1" w:rsidP="003518F1">
            <w:r w:rsidRPr="003518F1">
              <w:t>Kehtiva VÕS § 403 lg 4¹ kohaselt ei kohaldata VÕS §-s 411 sätestatut liisingulepingule, millega ei kaasne tarbija kohustust lepingueset välja osta. Kavandatava muudatuse kohaselt tunnistatakse VÕS § 403 lg 4¹ kehtetuks, mille tulemusel laieneksid VÕS § 411 ennetähtaegse tagasimaksmise reeglid ka kasutusrendilepingutele, s.t tarbija saaks lepingust tulenevad kohustused osaliselt või täielikult täita ennetähtaegselt (§ 411 lg 1 esimene lause).  </w:t>
            </w:r>
          </w:p>
          <w:p w14:paraId="4B49C340" w14:textId="4072C9AC" w:rsidR="000179B5" w:rsidRDefault="003518F1" w:rsidP="000179B5">
            <w:r w:rsidRPr="003518F1">
              <w:t>Eeldame, et kasutusrendilepingu puhul on lubatav ennetähtaegse täitmise (tagasimakse) õigus siduda liisinguvõtja kohustusega/võimalusega lepinguesemeks olev sõiduk välja osta või alternatiivina leida sellele ostja ja samuti kokkuvõttes lepingu jääk ennetähtaegselt liisinguandjale tasuda ning kokkuvõttes finantskohustusest vabaneda. Mõlemal juhul toimub liisingulepingu ennetähtaegne tasumine, mis vastab VÕS §-le 411. Paluksime täiendada seletuskirja selliselt, et selge ja välistatud oleks tarbijate ootus lõpetada leping ennetähtaegselt lihtsalt sõiduki tagastamisega finantseerijale, jättes viimase olukorda, kus liisinguandja peab ise otsima sõidukile ostja ning kandma kuni müügini selle hoiustamise, kindlustamise ja muud kaasnevad kulud. Märgime, et viimane tähendaks prognoosimatuid riske liisinguandjatele ja muudaks meie hinnangul tarbijatele kasutusrendi tüüpi liisingutoote pakkumise edaspidi küsitavaks. </w:t>
            </w:r>
          </w:p>
        </w:tc>
        <w:tc>
          <w:tcPr>
            <w:tcW w:w="5016" w:type="dxa"/>
          </w:tcPr>
          <w:p w14:paraId="3616713C" w14:textId="120A47BA" w:rsidR="000179B5" w:rsidRDefault="44D0B66D" w:rsidP="675DBA85">
            <w:r w:rsidRPr="4F38445B">
              <w:rPr>
                <w:b/>
                <w:bCs/>
              </w:rPr>
              <w:t xml:space="preserve">Arvestatud / </w:t>
            </w:r>
            <w:r w:rsidR="5EE2BB2D" w:rsidRPr="17B24DE2">
              <w:rPr>
                <w:b/>
              </w:rPr>
              <w:t>Selgitatud</w:t>
            </w:r>
            <w:r w:rsidR="5EE2BB2D">
              <w:t>.</w:t>
            </w:r>
          </w:p>
          <w:p w14:paraId="67D45BA5" w14:textId="2268981C" w:rsidR="000179B5" w:rsidRDefault="2A27EB08" w:rsidP="675DBA85">
            <w:r>
              <w:t xml:space="preserve">Jah, kuna liisinguandja äri on </w:t>
            </w:r>
            <w:r w:rsidR="176F8756">
              <w:t xml:space="preserve">tarbija valitud liisingueseme ostu finantseerimine ehk krediidi andmine, mitte aga konkreetsete liisinguesemete </w:t>
            </w:r>
            <w:r w:rsidR="7A28FEB2">
              <w:t xml:space="preserve">(nt sõiduautode) </w:t>
            </w:r>
            <w:r w:rsidR="5604CC2C">
              <w:t>müük, siis on ka loogiline see, et liisingulepingu lõpetamine ei saa toimuda selliselt, et tarbija annab liisingueseme (nt auto) liis</w:t>
            </w:r>
            <w:r w:rsidR="449E753F">
              <w:t xml:space="preserve">inguandjale üle. Seetõttu on  </w:t>
            </w:r>
            <w:r w:rsidR="494D0C97">
              <w:t xml:space="preserve">lepingutingimusi võimalik kujundada selliselt, et </w:t>
            </w:r>
            <w:r w:rsidR="6FB9029E">
              <w:t>kasutusliisingu puhul on võimalik krediit ennetähtaegselt tagastada, kui sõiduk ostetakse välja või l</w:t>
            </w:r>
            <w:r w:rsidR="157365FE">
              <w:t xml:space="preserve">eida sellele kolmandast isikust ostja. </w:t>
            </w:r>
            <w:r w:rsidR="19E18F2F">
              <w:t>Eelnõu seletuskirja on § 411 juures täiendatud vastavate selgituste</w:t>
            </w:r>
            <w:r w:rsidR="39C291FB">
              <w:t>ga</w:t>
            </w:r>
            <w:r w:rsidR="19E18F2F">
              <w:t xml:space="preserve">. </w:t>
            </w:r>
          </w:p>
        </w:tc>
      </w:tr>
      <w:tr w:rsidR="00D22FD2" w14:paraId="08B7CCE2" w14:textId="77777777" w:rsidTr="00617FBE">
        <w:tc>
          <w:tcPr>
            <w:tcW w:w="576" w:type="dxa"/>
          </w:tcPr>
          <w:p w14:paraId="3EAD1765" w14:textId="38EC7819" w:rsidR="000179B5" w:rsidRDefault="004C3672" w:rsidP="000179B5">
            <w:pPr>
              <w:jc w:val="center"/>
            </w:pPr>
            <w:r>
              <w:t>2</w:t>
            </w:r>
          </w:p>
        </w:tc>
        <w:tc>
          <w:tcPr>
            <w:tcW w:w="5040" w:type="dxa"/>
          </w:tcPr>
          <w:p w14:paraId="116760F9" w14:textId="38EDE9B2" w:rsidR="000179B5" w:rsidRDefault="00827682" w:rsidP="000179B5">
            <w:r w:rsidRPr="00617FBE">
              <w:t xml:space="preserve">VÕS </w:t>
            </w:r>
            <w:r w:rsidR="004C7254" w:rsidRPr="00617FBE">
              <w:t>§ </w:t>
            </w:r>
            <w:r w:rsidR="004C7254" w:rsidRPr="004C7254">
              <w:t>403</w:t>
            </w:r>
            <w:r>
              <w:rPr>
                <w:vertAlign w:val="superscript"/>
              </w:rPr>
              <w:t>1</w:t>
            </w:r>
            <w:r w:rsidR="004C7254" w:rsidRPr="004C7254">
              <w:t> </w:t>
            </w:r>
            <w:r w:rsidR="004C7254" w:rsidRPr="00617FBE">
              <w:t>  </w:t>
            </w:r>
            <w:r w:rsidR="004C7254" w:rsidRPr="004C7254">
              <w:t>lg 2 p 20 </w:t>
            </w:r>
            <w:r>
              <w:t>- p</w:t>
            </w:r>
            <w:r w:rsidRPr="00827682">
              <w:t xml:space="preserve">alume selgitada, kas tagasimaksegraafik tuleb paigutada tabelina </w:t>
            </w:r>
            <w:r w:rsidRPr="00827682">
              <w:lastRenderedPageBreak/>
              <w:t>teabelehe vastavasse parempoolsesse lahtrisse või võib lahtris teha viite ja graafiku enda lisada ka teabelehe lõppu? Märgime, et tagasimaksegraafik sisaldab endas mitukümmend rida - näiteks 5-aastase tähtajaga igakuise maksega krediidi korral on ridu kokku 60, ning rohkem kui kolm veergu: lisaks põhiosa- ja intressimaksele ka kindlustusmakse.  </w:t>
            </w:r>
          </w:p>
        </w:tc>
        <w:tc>
          <w:tcPr>
            <w:tcW w:w="5016" w:type="dxa"/>
          </w:tcPr>
          <w:p w14:paraId="65B54A7A" w14:textId="3DF3AC63" w:rsidR="000179B5" w:rsidRDefault="67FA6F2D" w:rsidP="007D150D">
            <w:r w:rsidRPr="7DFEDF29">
              <w:rPr>
                <w:b/>
                <w:bCs/>
              </w:rPr>
              <w:lastRenderedPageBreak/>
              <w:t xml:space="preserve">Arvestatud / </w:t>
            </w:r>
            <w:r w:rsidR="16C6857C" w:rsidRPr="7DFEDF29">
              <w:rPr>
                <w:b/>
                <w:bCs/>
              </w:rPr>
              <w:t>Selgitatud</w:t>
            </w:r>
            <w:r w:rsidR="16C6857C">
              <w:t>.</w:t>
            </w:r>
          </w:p>
          <w:p w14:paraId="45FFFDC8" w14:textId="27C1C85F" w:rsidR="000179B5" w:rsidRDefault="16C6857C" w:rsidP="007D150D">
            <w:r>
              <w:lastRenderedPageBreak/>
              <w:t xml:space="preserve">Eelnõu seletuskirja </w:t>
            </w:r>
            <w:r w:rsidR="54E38414">
              <w:t>on</w:t>
            </w:r>
            <w:r>
              <w:t xml:space="preserve"> lisatud selgitus, mille kohaselt võib tagasimaksegraafiku esitada ka teabelehe lõpus või selle lisana. Teisisõnu, see ei pea mahtuma teabelehel esitatud tabeli paremasse veergu, vaid võib olla eraldiseisvalt vormistatud.</w:t>
            </w:r>
          </w:p>
        </w:tc>
      </w:tr>
      <w:tr w:rsidR="00D22FD2" w14:paraId="43E7A7FD" w14:textId="77777777" w:rsidTr="00617FBE">
        <w:tc>
          <w:tcPr>
            <w:tcW w:w="576" w:type="dxa"/>
          </w:tcPr>
          <w:p w14:paraId="0E3BAACF" w14:textId="62C830EB" w:rsidR="000179B5" w:rsidRDefault="004C3672" w:rsidP="000179B5">
            <w:pPr>
              <w:jc w:val="center"/>
            </w:pPr>
            <w:r>
              <w:lastRenderedPageBreak/>
              <w:t>3</w:t>
            </w:r>
          </w:p>
        </w:tc>
        <w:tc>
          <w:tcPr>
            <w:tcW w:w="5040" w:type="dxa"/>
          </w:tcPr>
          <w:p w14:paraId="6B8CED42" w14:textId="77777777" w:rsidR="000179B5" w:rsidRPr="00F76C8A" w:rsidRDefault="00F76C8A" w:rsidP="000179B5">
            <w:r w:rsidRPr="00F76C8A">
              <w:t>Palume selgitada, kas sõiduki kaskokindlustusmakse ja kohustuslik liikluskindlustusmakse tuleb näidata tabelis eraldi summadena või on lubatud need ka summeerida? </w:t>
            </w:r>
          </w:p>
          <w:p w14:paraId="22147D3A" w14:textId="7F7DF647" w:rsidR="00F76C8A" w:rsidRPr="00F76C8A" w:rsidRDefault="00F76C8A" w:rsidP="000179B5">
            <w:r w:rsidRPr="00F76C8A">
              <w:t>On võimalik, et tarbijale koostatav kindlustuspakkumus sisaldab mitut valikut: minikasko, tavakasko, superkasko. Palume selgitada, et juhul kui tarbija eelistus teabelehe esitamise hetkeks ei ole veel teada, kas siis teabelehe tagasimaksegraafikus tuleb näidata kõige kallima kindlustusvaliku makse või tuleb lähtuda praktikas tarbijate poolt enim valitavast kindlustusvalikust? </w:t>
            </w:r>
          </w:p>
        </w:tc>
        <w:tc>
          <w:tcPr>
            <w:tcW w:w="5016" w:type="dxa"/>
          </w:tcPr>
          <w:p w14:paraId="76336870" w14:textId="0FBFB300" w:rsidR="000179B5" w:rsidRDefault="62545C94" w:rsidP="4F38445B">
            <w:r w:rsidRPr="199970A0">
              <w:rPr>
                <w:b/>
                <w:bCs/>
              </w:rPr>
              <w:t xml:space="preserve">Arvestatud / </w:t>
            </w:r>
            <w:r w:rsidR="1DBA3CBD" w:rsidRPr="4F38445B">
              <w:rPr>
                <w:b/>
                <w:bCs/>
              </w:rPr>
              <w:t>Sel</w:t>
            </w:r>
            <w:r w:rsidR="3C769A4D" w:rsidRPr="4F38445B">
              <w:rPr>
                <w:b/>
                <w:bCs/>
              </w:rPr>
              <w:t>gitatud</w:t>
            </w:r>
            <w:r w:rsidR="3C769A4D">
              <w:t>.</w:t>
            </w:r>
          </w:p>
          <w:p w14:paraId="746BDB54" w14:textId="019CB953" w:rsidR="000179B5" w:rsidRDefault="3C769A4D" w:rsidP="4F38445B">
            <w:r>
              <w:t>Direktiivis ega eelnõus ei ole ette nähtud täpsemaid juhiseid selle kohta, kas tabelis tuleks erinevate kindlustuste maksed näidata eraldi või koos. Siin on Justii</w:t>
            </w:r>
            <w:r w:rsidR="0F0320F0">
              <w:t>t</w:t>
            </w:r>
            <w:r>
              <w:t>s- ja Digiministeeriumi hinnangul krediidiandjatel ja liisinguandjatel vabad käed.</w:t>
            </w:r>
          </w:p>
          <w:p w14:paraId="54A59D0B" w14:textId="24D6EC2C" w:rsidR="000179B5" w:rsidRDefault="000179B5" w:rsidP="000179B5">
            <w:pPr>
              <w:jc w:val="center"/>
            </w:pPr>
          </w:p>
          <w:p w14:paraId="03E264FB" w14:textId="2A23F701" w:rsidR="000179B5" w:rsidRDefault="0CC9FD20" w:rsidP="4F38445B">
            <w:pPr>
              <w:spacing w:after="5" w:line="248" w:lineRule="auto"/>
              <w:ind w:left="-5" w:hanging="10"/>
              <w:rPr>
                <w:rFonts w:eastAsia="Times New Roman"/>
              </w:rPr>
            </w:pPr>
            <w:r w:rsidRPr="4F38445B">
              <w:rPr>
                <w:rFonts w:eastAsia="Times New Roman"/>
              </w:rPr>
              <w:t>Eelnõu seletuskirja on lisatud täiendav selgitus selle kohta, et t</w:t>
            </w:r>
            <w:r w:rsidR="054E3F3D" w:rsidRPr="4F38445B">
              <w:rPr>
                <w:rFonts w:eastAsia="Times New Roman"/>
              </w:rPr>
              <w:t xml:space="preserve">arbijale </w:t>
            </w:r>
            <w:proofErr w:type="spellStart"/>
            <w:r w:rsidR="054E3F3D" w:rsidRPr="4F38445B">
              <w:rPr>
                <w:rFonts w:eastAsia="Times New Roman"/>
              </w:rPr>
              <w:t>kõrvallepingute</w:t>
            </w:r>
            <w:proofErr w:type="spellEnd"/>
            <w:r w:rsidR="054E3F3D" w:rsidRPr="4F38445B">
              <w:rPr>
                <w:rFonts w:eastAsia="Times New Roman"/>
              </w:rPr>
              <w:t xml:space="preserve"> pakkumisel (nt kindlustus) tuleks arvesta</w:t>
            </w:r>
            <w:r w:rsidR="09247E3F" w:rsidRPr="4F38445B">
              <w:rPr>
                <w:rFonts w:eastAsia="Times New Roman"/>
              </w:rPr>
              <w:t>da</w:t>
            </w:r>
            <w:r w:rsidR="054E3F3D" w:rsidRPr="4F38445B">
              <w:rPr>
                <w:rFonts w:eastAsia="Times New Roman"/>
              </w:rPr>
              <w:t xml:space="preserve"> regulatsiooni hoiatavat eesmärki </w:t>
            </w:r>
            <w:r w:rsidR="3D17F727" w:rsidRPr="4F38445B">
              <w:rPr>
                <w:rFonts w:eastAsia="Times New Roman"/>
              </w:rPr>
              <w:t xml:space="preserve">ja </w:t>
            </w:r>
            <w:r w:rsidR="054E3F3D" w:rsidRPr="4F38445B">
              <w:rPr>
                <w:rFonts w:eastAsia="Times New Roman"/>
              </w:rPr>
              <w:t>lähtuda alternatiivsete pakkumiste korral kõige kõrgemate kuludega pakkumisest.</w:t>
            </w:r>
          </w:p>
          <w:p w14:paraId="0714CC20" w14:textId="0DBDB1A4" w:rsidR="000179B5" w:rsidRDefault="000179B5" w:rsidP="000179B5">
            <w:pPr>
              <w:jc w:val="center"/>
            </w:pPr>
          </w:p>
        </w:tc>
      </w:tr>
      <w:tr w:rsidR="00D22FD2" w14:paraId="14221865" w14:textId="77777777" w:rsidTr="00617FBE">
        <w:tc>
          <w:tcPr>
            <w:tcW w:w="576" w:type="dxa"/>
          </w:tcPr>
          <w:p w14:paraId="29246FE0" w14:textId="35099F68" w:rsidR="000179B5" w:rsidRDefault="004C3672" w:rsidP="000179B5">
            <w:pPr>
              <w:jc w:val="center"/>
            </w:pPr>
            <w:r>
              <w:t>4</w:t>
            </w:r>
          </w:p>
        </w:tc>
        <w:tc>
          <w:tcPr>
            <w:tcW w:w="5040" w:type="dxa"/>
          </w:tcPr>
          <w:p w14:paraId="75E4AB7B" w14:textId="6620A865" w:rsidR="000179B5" w:rsidRDefault="00F76C8A" w:rsidP="000179B5">
            <w:r>
              <w:t>P</w:t>
            </w:r>
            <w:r w:rsidRPr="00F76C8A">
              <w:t xml:space="preserve">alume selgitada, kuidas peaksid turuosalised, kes pakuvad liisingut fikseerimata intressimääraga (reeglina alusintressimääraga </w:t>
            </w:r>
            <w:proofErr w:type="spellStart"/>
            <w:r w:rsidRPr="00F76C8A">
              <w:t>euribor</w:t>
            </w:r>
            <w:proofErr w:type="spellEnd"/>
            <w:r w:rsidRPr="00F76C8A">
              <w:t xml:space="preserve"> seotud), näitama tagasimaksegraafikut teabelehel? Kas antud ajahetkel kehtiva </w:t>
            </w:r>
            <w:proofErr w:type="spellStart"/>
            <w:r w:rsidRPr="00F76C8A">
              <w:t>euriboriga</w:t>
            </w:r>
            <w:proofErr w:type="spellEnd"/>
            <w:r w:rsidRPr="00F76C8A">
              <w:t xml:space="preserve">, ajalooliselt kõrgeima </w:t>
            </w:r>
            <w:proofErr w:type="spellStart"/>
            <w:r w:rsidRPr="00F76C8A">
              <w:t>euriboriga</w:t>
            </w:r>
            <w:proofErr w:type="spellEnd"/>
            <w:r w:rsidRPr="00F76C8A">
              <w:t xml:space="preserve"> või veel mõni kolmas viis?</w:t>
            </w:r>
          </w:p>
        </w:tc>
        <w:tc>
          <w:tcPr>
            <w:tcW w:w="5016" w:type="dxa"/>
          </w:tcPr>
          <w:p w14:paraId="61DC69D3" w14:textId="6A2B0A20" w:rsidR="000179B5" w:rsidRDefault="5228623C" w:rsidP="4F38445B">
            <w:r w:rsidRPr="4F38445B">
              <w:rPr>
                <w:b/>
                <w:bCs/>
              </w:rPr>
              <w:t>Selgitatud</w:t>
            </w:r>
            <w:r>
              <w:t>.</w:t>
            </w:r>
          </w:p>
          <w:p w14:paraId="609375FB" w14:textId="65C1CB02" w:rsidR="000179B5" w:rsidRDefault="5228623C" w:rsidP="4F38445B">
            <w:r>
              <w:t xml:space="preserve">Eelnõu seletuskirja on täiendatud vastavate selgitustega. </w:t>
            </w:r>
          </w:p>
        </w:tc>
      </w:tr>
      <w:tr w:rsidR="002A6C9D" w14:paraId="7E0884F2" w14:textId="77777777" w:rsidTr="00617FBE">
        <w:tc>
          <w:tcPr>
            <w:tcW w:w="10632" w:type="dxa"/>
            <w:gridSpan w:val="3"/>
          </w:tcPr>
          <w:p w14:paraId="0A551B64" w14:textId="6361F41E" w:rsidR="00485915" w:rsidRPr="00B33E3C" w:rsidRDefault="00485915" w:rsidP="00485915">
            <w:pPr>
              <w:rPr>
                <w:b/>
                <w:bCs/>
              </w:rPr>
            </w:pPr>
            <w:r w:rsidRPr="00B33E3C">
              <w:rPr>
                <w:b/>
                <w:bCs/>
              </w:rPr>
              <w:t>Eesti Pank</w:t>
            </w:r>
          </w:p>
        </w:tc>
      </w:tr>
      <w:tr w:rsidR="00D22FD2" w14:paraId="208DB323" w14:textId="77777777" w:rsidTr="00617FBE">
        <w:tc>
          <w:tcPr>
            <w:tcW w:w="576" w:type="dxa"/>
          </w:tcPr>
          <w:p w14:paraId="27E12BE8" w14:textId="4D35322C" w:rsidR="000179B5" w:rsidRDefault="004C3672" w:rsidP="000179B5">
            <w:pPr>
              <w:jc w:val="center"/>
            </w:pPr>
            <w:r>
              <w:t>1</w:t>
            </w:r>
          </w:p>
        </w:tc>
        <w:tc>
          <w:tcPr>
            <w:tcW w:w="5040" w:type="dxa"/>
          </w:tcPr>
          <w:p w14:paraId="045E1DA8" w14:textId="1543D61E" w:rsidR="000179B5" w:rsidRDefault="00DA1353" w:rsidP="000179B5">
            <w:r>
              <w:t>E</w:t>
            </w:r>
            <w:r w:rsidR="00972ED9" w:rsidRPr="00972ED9">
              <w:t>ttepanek muuta võlaõigusseaduse §</w:t>
            </w:r>
            <w:r>
              <w:t xml:space="preserve"> </w:t>
            </w:r>
            <w:r w:rsidR="00972ED9" w:rsidRPr="00972ED9">
              <w:t>411 lõiget 4 ja</w:t>
            </w:r>
            <w:r w:rsidR="00972ED9">
              <w:t xml:space="preserve"> </w:t>
            </w:r>
            <w:r w:rsidR="00972ED9" w:rsidRPr="00972ED9">
              <w:t xml:space="preserve">sõnastada see järgmiselt: </w:t>
            </w:r>
            <w:r w:rsidR="00972ED9" w:rsidRPr="00DA1353">
              <w:t xml:space="preserve">„(4) </w:t>
            </w:r>
            <w:r w:rsidR="00972ED9" w:rsidRPr="00DA1353">
              <w:rPr>
                <w:i/>
                <w:iCs/>
              </w:rPr>
              <w:t>Kui elamukinnisvaraga seotud tarbijakrediidilepingu puhul toimub ennetähtaegne tagasimaksmine fikseerimata intressimääraga perioodil, puudub krediidiandjal õigus nõuda tarbijalt saamata jäänud intressi, kui lepingu lõpetamisest teavitatakse vähemalt üks kuu ette</w:t>
            </w:r>
            <w:r w:rsidR="00972ED9" w:rsidRPr="00972ED9">
              <w:t>.“</w:t>
            </w:r>
          </w:p>
        </w:tc>
        <w:tc>
          <w:tcPr>
            <w:tcW w:w="5016" w:type="dxa"/>
          </w:tcPr>
          <w:p w14:paraId="555843D2" w14:textId="7FFF8F8A" w:rsidR="000179B5" w:rsidRDefault="6A391C6A" w:rsidP="178B8483">
            <w:pPr>
              <w:rPr>
                <w:b/>
                <w:bCs/>
              </w:rPr>
            </w:pPr>
            <w:r w:rsidRPr="178B8483">
              <w:rPr>
                <w:b/>
                <w:bCs/>
              </w:rPr>
              <w:t>Mittearvestatud / selgitatud</w:t>
            </w:r>
          </w:p>
          <w:p w14:paraId="24CDC1CC" w14:textId="1CE0C6E8" w:rsidR="000179B5" w:rsidRDefault="272A374E" w:rsidP="178B8483">
            <w:r>
              <w:t xml:space="preserve">Kuigi ettepaneku </w:t>
            </w:r>
            <w:r w:rsidR="60520065">
              <w:t xml:space="preserve">sisu ja </w:t>
            </w:r>
            <w:r>
              <w:t xml:space="preserve">eesmärk on </w:t>
            </w:r>
            <w:r w:rsidR="71D4D596">
              <w:t>Justiits- ja Digiministeeriumile</w:t>
            </w:r>
            <w:r>
              <w:t xml:space="preserve"> mõistetav, </w:t>
            </w:r>
            <w:r w:rsidR="012D6CBE">
              <w:t>siis kõnealuse eelnõu eesmärk on uue tarbijakrediidi direktiivi ülevõtmine</w:t>
            </w:r>
            <w:r>
              <w:t xml:space="preserve">. </w:t>
            </w:r>
            <w:r w:rsidR="029D38CE">
              <w:t xml:space="preserve">Eelnõusse ei ole lisatud direktiivi ülevõtmisega mitteseotud muudatusi, st tegemist ei ole tarbijakrediidi valdkonna laiema reformiga. </w:t>
            </w:r>
            <w:r w:rsidR="6E30C65D">
              <w:t>Seetõttu ei ole võimalik arvestada ka kõnealust ettepanekut, mis ei ole direktiivi ülevõtmisega otseselt seotud</w:t>
            </w:r>
            <w:r w:rsidR="68B5F2E1">
              <w:t>.</w:t>
            </w:r>
          </w:p>
          <w:p w14:paraId="29A45641" w14:textId="6B3CF9B6" w:rsidR="000179B5" w:rsidRDefault="40297B7F" w:rsidP="000179B5">
            <w:pPr>
              <w:jc w:val="center"/>
            </w:pPr>
            <w:r>
              <w:t xml:space="preserve"> </w:t>
            </w:r>
          </w:p>
        </w:tc>
      </w:tr>
    </w:tbl>
    <w:p w14:paraId="2655A140" w14:textId="53F29A33" w:rsidR="0052717B" w:rsidRPr="00C260A8" w:rsidRDefault="0052717B" w:rsidP="008B31BD"/>
    <w:sectPr w:rsidR="0052717B" w:rsidRPr="00C260A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F306" w14:textId="77777777" w:rsidR="00A67E42" w:rsidRDefault="00A67E42" w:rsidP="006E2DB3">
      <w:r>
        <w:separator/>
      </w:r>
    </w:p>
  </w:endnote>
  <w:endnote w:type="continuationSeparator" w:id="0">
    <w:p w14:paraId="2396A475" w14:textId="77777777" w:rsidR="00A67E42" w:rsidRDefault="00A67E42" w:rsidP="006E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436644"/>
      <w:docPartObj>
        <w:docPartGallery w:val="Page Numbers (Bottom of Page)"/>
        <w:docPartUnique/>
      </w:docPartObj>
    </w:sdtPr>
    <w:sdtContent>
      <w:p w14:paraId="4D01205F" w14:textId="509E1539" w:rsidR="00FF630F" w:rsidRDefault="00FF630F">
        <w:pPr>
          <w:pStyle w:val="Jalus"/>
          <w:jc w:val="center"/>
        </w:pPr>
        <w:r>
          <w:fldChar w:fldCharType="begin"/>
        </w:r>
        <w:r>
          <w:instrText>PAGE   \* MERGEFORMAT</w:instrText>
        </w:r>
        <w:r>
          <w:fldChar w:fldCharType="separate"/>
        </w:r>
        <w:r>
          <w:t>2</w:t>
        </w:r>
        <w:r>
          <w:fldChar w:fldCharType="end"/>
        </w:r>
      </w:p>
    </w:sdtContent>
  </w:sdt>
  <w:p w14:paraId="56C6F847" w14:textId="77777777" w:rsidR="00FF630F" w:rsidRDefault="00FF630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2EF1" w14:textId="77777777" w:rsidR="00A67E42" w:rsidRDefault="00A67E42" w:rsidP="006E2DB3">
      <w:r>
        <w:separator/>
      </w:r>
    </w:p>
  </w:footnote>
  <w:footnote w:type="continuationSeparator" w:id="0">
    <w:p w14:paraId="03DD4BEC" w14:textId="77777777" w:rsidR="00A67E42" w:rsidRDefault="00A67E42" w:rsidP="006E2DB3">
      <w:r>
        <w:continuationSeparator/>
      </w:r>
    </w:p>
  </w:footnote>
  <w:footnote w:id="1">
    <w:p w14:paraId="04F7FB85" w14:textId="15B928F2" w:rsidR="00CF0E83" w:rsidRPr="00CF0E83" w:rsidRDefault="006E2DB3" w:rsidP="00CF0E83">
      <w:pPr>
        <w:pStyle w:val="Allmrkusetekst"/>
      </w:pPr>
      <w:r>
        <w:rPr>
          <w:rStyle w:val="Allmrkuseviide"/>
        </w:rPr>
        <w:footnoteRef/>
      </w:r>
      <w:r>
        <w:t xml:space="preserve"> </w:t>
      </w:r>
      <w:r w:rsidR="00CF0E83" w:rsidRPr="00CF0E83">
        <w:t>Võlaõigusseaduse ja tarbijakaitseseaduse muutmise seadus 796 SE</w:t>
      </w:r>
      <w:r w:rsidR="00CF0E83">
        <w:t xml:space="preserve">. </w:t>
      </w:r>
      <w:hyperlink r:id="rId1">
        <w:r w:rsidR="5C9AECE2" w:rsidRPr="5C9AECE2">
          <w:rPr>
            <w:rStyle w:val="Hperlink"/>
          </w:rPr>
          <w:t>https://www.riigikogu.ee/tegevus/eelnoud/eelnou/19cde50e-3b68-4792-970d-18cfe753cb5c/volaoigusseaduse-ja-tarbijakaitseseaduse-muutmise-seadus/</w:t>
        </w:r>
      </w:hyperlink>
      <w:r w:rsidR="00F5151A">
        <w:t xml:space="preserve">. </w:t>
      </w:r>
    </w:p>
    <w:p w14:paraId="371AA032" w14:textId="295A44FB" w:rsidR="006E2DB3" w:rsidRDefault="006E2DB3">
      <w:pPr>
        <w:pStyle w:val="Allmrkusetekst"/>
      </w:pPr>
    </w:p>
  </w:footnote>
  <w:footnote w:id="2">
    <w:p w14:paraId="319400AB" w14:textId="2EF6D0EB" w:rsidR="00F02D32" w:rsidRDefault="00F02D32">
      <w:pPr>
        <w:pStyle w:val="Allmrkusetekst"/>
      </w:pPr>
      <w:r>
        <w:rPr>
          <w:rStyle w:val="Allmrkuseviide"/>
        </w:rPr>
        <w:footnoteRef/>
      </w:r>
      <w:r>
        <w:t xml:space="preserve"> </w:t>
      </w:r>
      <w:r w:rsidR="00E95114">
        <w:t>Finantsinspektsiooni käsiraamat vastutustundliku krediidi väljastamise protsessile.</w:t>
      </w:r>
      <w:r w:rsidR="008F3603">
        <w:t xml:space="preserve"> - </w:t>
      </w:r>
      <w:hyperlink r:id="rId2" w:history="1">
        <w:r w:rsidR="008F3603" w:rsidRPr="00E35FC7">
          <w:rPr>
            <w:rStyle w:val="Hperlink"/>
          </w:rPr>
          <w:t>https://www.fi.ee/sites/default/files/2024-10/Finantsinspektsiooni%20k%C3%A4siraamat%20vastutustundliku%20krediidi%20v%C3%A4ljastamise%20protsessile.pdf</w:t>
        </w:r>
      </w:hyperlink>
      <w:r w:rsidR="00E95114">
        <w:t xml:space="preserve"> </w:t>
      </w:r>
    </w:p>
  </w:footnote>
  <w:footnote w:id="3">
    <w:p w14:paraId="2E3CAA5A" w14:textId="6545BD63" w:rsidR="00350D7B" w:rsidRDefault="00350D7B">
      <w:pPr>
        <w:pStyle w:val="Allmrkusetekst"/>
      </w:pPr>
      <w:r>
        <w:rPr>
          <w:rStyle w:val="Allmrkuseviide"/>
        </w:rPr>
        <w:footnoteRef/>
      </w:r>
      <w:r>
        <w:t xml:space="preserve"> Ka muu</w:t>
      </w:r>
      <w:r w:rsidR="00B60D72">
        <w:t>d</w:t>
      </w:r>
      <w:r>
        <w:t xml:space="preserve"> FI käsiraamatu</w:t>
      </w:r>
      <w:r w:rsidR="00B60D72">
        <w:t xml:space="preserve"> juhised viitavad</w:t>
      </w:r>
      <w:r>
        <w:t xml:space="preserve"> sellele, et tarbija esitatud </w:t>
      </w:r>
      <w:r w:rsidR="005D5C88">
        <w:t xml:space="preserve">teavet tuleb kontrollida. </w:t>
      </w:r>
      <w:r w:rsidR="00491584">
        <w:t>Nt k</w:t>
      </w:r>
      <w:r w:rsidR="00491584" w:rsidRPr="00491584">
        <w:t xml:space="preserve">rediidiandja </w:t>
      </w:r>
      <w:r w:rsidR="00491584">
        <w:t>kontrolli</w:t>
      </w:r>
      <w:r w:rsidR="002B6B54">
        <w:t xml:space="preserve">b </w:t>
      </w:r>
      <w:r w:rsidR="00491584" w:rsidRPr="00491584">
        <w:t>tarbija poolt krediiditaotlusel esitatud informatsiooni tõelevastavust teostades päringu näiteks Maksu- ja Tolliametisse, Pensioniregistrisse või palunud tarbijal esitada arvelduskonto väljavõte ja/või muu asjakohase tõendusmaterjali. Sissetulekute kontrollimine arvelduskonto väljavõttelt ei ole kohustuslik, kui tarbija sissetulekute suurust on võimalik kontrollida muu kogutud objektiivse teabe alusel.</w:t>
      </w:r>
      <w:r w:rsidR="00E0290F">
        <w:t xml:space="preserve"> Lisaks kontrollib k</w:t>
      </w:r>
      <w:r w:rsidR="00E0290F" w:rsidRPr="00E0290F">
        <w:t>rediidiandja tarbija esitatud teavet tema kohustuste kohta, tuginedes võimaluse korral tarbija esitatud arvelduskonto väljavõttele, kui muu kogutud teave ei ole piisav tarbija krediidivõimelisuse hindamiseks. Arvelduskonto väljavõte peab olema esitatud piisavalt pika ajavahemiku kohta, et oleks võimalik adekvaatselt hinnata tarbija krediidivõimelisust</w:t>
      </w:r>
      <w:r w:rsidR="00082175">
        <w:t>.</w:t>
      </w:r>
    </w:p>
  </w:footnote>
  <w:footnote w:id="4">
    <w:p w14:paraId="6258106F" w14:textId="090EA5CF" w:rsidR="00021EB5" w:rsidRDefault="00021EB5">
      <w:pPr>
        <w:pStyle w:val="Allmrkusetekst"/>
      </w:pPr>
      <w:r>
        <w:rPr>
          <w:rStyle w:val="Allmrkuseviide"/>
        </w:rPr>
        <w:footnoteRef/>
      </w:r>
      <w:r>
        <w:t xml:space="preserve"> C-449/13 – Ca </w:t>
      </w:r>
      <w:r w:rsidR="00143362">
        <w:t xml:space="preserve">Consumer Finance SA, </w:t>
      </w:r>
      <w:r w:rsidR="00D530D3">
        <w:t xml:space="preserve">p 39. </w:t>
      </w:r>
    </w:p>
  </w:footnote>
  <w:footnote w:id="5">
    <w:p w14:paraId="2EEDCB21" w14:textId="6EEDB0C5" w:rsidR="00247ED7" w:rsidRDefault="00247ED7">
      <w:pPr>
        <w:pStyle w:val="Allmrkusetekst"/>
      </w:pPr>
      <w:r>
        <w:rPr>
          <w:rStyle w:val="Allmrkuseviide"/>
        </w:rPr>
        <w:footnoteRef/>
      </w:r>
      <w:r>
        <w:t xml:space="preserve"> </w:t>
      </w:r>
      <w:r w:rsidR="000201EC">
        <w:t>C-449/13</w:t>
      </w:r>
      <w:r w:rsidR="00C66813">
        <w:t xml:space="preserve"> – CA </w:t>
      </w:r>
      <w:proofErr w:type="spellStart"/>
      <w:r w:rsidR="00C66813">
        <w:t>Consumer</w:t>
      </w:r>
      <w:proofErr w:type="spellEnd"/>
      <w:r w:rsidR="00C66813">
        <w:t xml:space="preserve"> Finance</w:t>
      </w:r>
      <w:r w:rsidR="00D14F02">
        <w:t xml:space="preserve">, p 36.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8708DB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75384F"/>
    <w:multiLevelType w:val="hybridMultilevel"/>
    <w:tmpl w:val="C78CE108"/>
    <w:lvl w:ilvl="0" w:tplc="C7EC251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5802B6"/>
    <w:multiLevelType w:val="hybridMultilevel"/>
    <w:tmpl w:val="6B644378"/>
    <w:lvl w:ilvl="0" w:tplc="EE20EB3E">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AE6998"/>
    <w:multiLevelType w:val="hybridMultilevel"/>
    <w:tmpl w:val="00A63A0E"/>
    <w:lvl w:ilvl="0" w:tplc="FFFFFFFF">
      <w:start w:val="1"/>
      <w:numFmt w:val="lowerRoman"/>
      <w:lvlText w:val="(%1)"/>
      <w:lvlJc w:val="left"/>
      <w:pPr>
        <w:ind w:left="1140" w:hanging="78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C3C8D"/>
    <w:multiLevelType w:val="hybridMultilevel"/>
    <w:tmpl w:val="6B3067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C7108D0"/>
    <w:multiLevelType w:val="hybridMultilevel"/>
    <w:tmpl w:val="7478A9A2"/>
    <w:lvl w:ilvl="0" w:tplc="ACC478F2">
      <w:start w:val="1"/>
      <w:numFmt w:val="lowerRoman"/>
      <w:lvlText w:val="(%1)"/>
      <w:lvlJc w:val="left"/>
      <w:pPr>
        <w:ind w:left="1080" w:hanging="720"/>
      </w:pPr>
      <w:rPr>
        <w:rFonts w:eastAsiaTheme="minorHAnsi"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D540B4B"/>
    <w:multiLevelType w:val="hybridMultilevel"/>
    <w:tmpl w:val="9DD44AD8"/>
    <w:lvl w:ilvl="0" w:tplc="B35EB7B6">
      <w:start w:val="1"/>
      <w:numFmt w:val="lowerRoman"/>
      <w:lvlText w:val="(%1)"/>
      <w:lvlJc w:val="left"/>
      <w:pPr>
        <w:ind w:left="1140" w:hanging="78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D785FEA"/>
    <w:multiLevelType w:val="hybridMultilevel"/>
    <w:tmpl w:val="618CD4E6"/>
    <w:lvl w:ilvl="0" w:tplc="A8EE5F1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682490"/>
    <w:multiLevelType w:val="hybridMultilevel"/>
    <w:tmpl w:val="9F32F0E6"/>
    <w:lvl w:ilvl="0" w:tplc="32787414">
      <w:start w:val="1"/>
      <w:numFmt w:val="lowerRoman"/>
      <w:lvlText w:val="(%1)"/>
      <w:lvlJc w:val="left"/>
      <w:pPr>
        <w:ind w:left="1140" w:hanging="7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9945754"/>
    <w:multiLevelType w:val="hybridMultilevel"/>
    <w:tmpl w:val="EEDCFCCA"/>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29FE1FAD"/>
    <w:multiLevelType w:val="hybridMultilevel"/>
    <w:tmpl w:val="D21C3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0D39D6"/>
    <w:multiLevelType w:val="hybridMultilevel"/>
    <w:tmpl w:val="A72E381A"/>
    <w:lvl w:ilvl="0" w:tplc="18B676E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D5E2FE0"/>
    <w:multiLevelType w:val="hybridMultilevel"/>
    <w:tmpl w:val="F978F8E4"/>
    <w:lvl w:ilvl="0" w:tplc="A046301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9942D89"/>
    <w:multiLevelType w:val="hybridMultilevel"/>
    <w:tmpl w:val="65CCAF46"/>
    <w:lvl w:ilvl="0" w:tplc="11DEEDE0">
      <w:start w:val="2"/>
      <w:numFmt w:val="lowerRoman"/>
      <w:lvlText w:val="(%1)"/>
      <w:lvlJc w:val="left"/>
      <w:pPr>
        <w:ind w:left="1080" w:hanging="720"/>
      </w:pPr>
      <w:rPr>
        <w:rFonts w:eastAsia="Calibr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9EC563C"/>
    <w:multiLevelType w:val="hybridMultilevel"/>
    <w:tmpl w:val="78EEB234"/>
    <w:lvl w:ilvl="0" w:tplc="7D082DEE">
      <w:start w:val="1"/>
      <w:numFmt w:val="lowerRoman"/>
      <w:lvlText w:val="(%1)"/>
      <w:lvlJc w:val="left"/>
      <w:pPr>
        <w:ind w:left="715" w:hanging="72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15" w15:restartNumberingAfterBreak="0">
    <w:nsid w:val="3BA03935"/>
    <w:multiLevelType w:val="hybridMultilevel"/>
    <w:tmpl w:val="680AAB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A314B9"/>
    <w:multiLevelType w:val="hybridMultilevel"/>
    <w:tmpl w:val="5212EC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6B2DB7"/>
    <w:multiLevelType w:val="hybridMultilevel"/>
    <w:tmpl w:val="D28017A4"/>
    <w:lvl w:ilvl="0" w:tplc="BE94CFB4">
      <w:start w:val="1"/>
      <w:numFmt w:val="lowerRoman"/>
      <w:lvlText w:val="(%1)"/>
      <w:lvlJc w:val="left"/>
      <w:pPr>
        <w:ind w:left="715" w:hanging="72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18" w15:restartNumberingAfterBreak="0">
    <w:nsid w:val="3F9D288C"/>
    <w:multiLevelType w:val="hybridMultilevel"/>
    <w:tmpl w:val="1BE6B75C"/>
    <w:lvl w:ilvl="0" w:tplc="EF74FB3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21C7832"/>
    <w:multiLevelType w:val="hybridMultilevel"/>
    <w:tmpl w:val="A13628E8"/>
    <w:lvl w:ilvl="0" w:tplc="4564827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2BD053C"/>
    <w:multiLevelType w:val="hybridMultilevel"/>
    <w:tmpl w:val="5FD836D0"/>
    <w:lvl w:ilvl="0" w:tplc="5DF02B2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5C022E"/>
    <w:multiLevelType w:val="hybridMultilevel"/>
    <w:tmpl w:val="A7A633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8D4F7A"/>
    <w:multiLevelType w:val="hybridMultilevel"/>
    <w:tmpl w:val="6282A8A0"/>
    <w:lvl w:ilvl="0" w:tplc="AF0E1D2C">
      <w:start w:val="1"/>
      <w:numFmt w:val="lowerRoman"/>
      <w:lvlText w:val="(%1)"/>
      <w:lvlJc w:val="left"/>
      <w:pPr>
        <w:ind w:left="715" w:hanging="72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23" w15:restartNumberingAfterBreak="0">
    <w:nsid w:val="49626EB4"/>
    <w:multiLevelType w:val="hybridMultilevel"/>
    <w:tmpl w:val="346EEA0C"/>
    <w:lvl w:ilvl="0" w:tplc="54B0735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E6D7E78"/>
    <w:multiLevelType w:val="hybridMultilevel"/>
    <w:tmpl w:val="619047E6"/>
    <w:lvl w:ilvl="0" w:tplc="5818F1E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6652BD9"/>
    <w:multiLevelType w:val="hybridMultilevel"/>
    <w:tmpl w:val="DA325B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93A4591"/>
    <w:multiLevelType w:val="hybridMultilevel"/>
    <w:tmpl w:val="C2EEC034"/>
    <w:lvl w:ilvl="0" w:tplc="6E4E463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9AD17CF"/>
    <w:multiLevelType w:val="hybridMultilevel"/>
    <w:tmpl w:val="7158DD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407787"/>
    <w:multiLevelType w:val="multilevel"/>
    <w:tmpl w:val="AC3E6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20030"/>
    <w:multiLevelType w:val="hybridMultilevel"/>
    <w:tmpl w:val="E0A6D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11D59AE"/>
    <w:multiLevelType w:val="hybridMultilevel"/>
    <w:tmpl w:val="62A272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26F0E1E"/>
    <w:multiLevelType w:val="hybridMultilevel"/>
    <w:tmpl w:val="9D0C4AC0"/>
    <w:lvl w:ilvl="0" w:tplc="FC805DE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2F76C90"/>
    <w:multiLevelType w:val="hybridMultilevel"/>
    <w:tmpl w:val="57F84AB6"/>
    <w:lvl w:ilvl="0" w:tplc="A5DA4AD2">
      <w:start w:val="1"/>
      <w:numFmt w:val="lowerRoman"/>
      <w:lvlText w:val="(%1)"/>
      <w:lvlJc w:val="left"/>
      <w:pPr>
        <w:ind w:left="1077"/>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1" w:tplc="C060ADA4">
      <w:start w:val="1"/>
      <w:numFmt w:val="lowerLetter"/>
      <w:lvlText w:val="%2"/>
      <w:lvlJc w:val="left"/>
      <w:pPr>
        <w:ind w:left="180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2" w:tplc="DDC08BA4">
      <w:start w:val="1"/>
      <w:numFmt w:val="lowerRoman"/>
      <w:lvlText w:val="%3"/>
      <w:lvlJc w:val="left"/>
      <w:pPr>
        <w:ind w:left="252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3" w:tplc="7A244D9A">
      <w:start w:val="1"/>
      <w:numFmt w:val="decimal"/>
      <w:lvlText w:val="%4"/>
      <w:lvlJc w:val="left"/>
      <w:pPr>
        <w:ind w:left="324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4" w:tplc="763EC656">
      <w:start w:val="1"/>
      <w:numFmt w:val="lowerLetter"/>
      <w:lvlText w:val="%5"/>
      <w:lvlJc w:val="left"/>
      <w:pPr>
        <w:ind w:left="396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5" w:tplc="5A62E6DE">
      <w:start w:val="1"/>
      <w:numFmt w:val="lowerRoman"/>
      <w:lvlText w:val="%6"/>
      <w:lvlJc w:val="left"/>
      <w:pPr>
        <w:ind w:left="468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6" w:tplc="66F069F8">
      <w:start w:val="1"/>
      <w:numFmt w:val="decimal"/>
      <w:lvlText w:val="%7"/>
      <w:lvlJc w:val="left"/>
      <w:pPr>
        <w:ind w:left="540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7" w:tplc="BBEE0DAA">
      <w:start w:val="1"/>
      <w:numFmt w:val="lowerLetter"/>
      <w:lvlText w:val="%8"/>
      <w:lvlJc w:val="left"/>
      <w:pPr>
        <w:ind w:left="612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lvl w:ilvl="8" w:tplc="A3BE4DCC">
      <w:start w:val="1"/>
      <w:numFmt w:val="lowerRoman"/>
      <w:lvlText w:val="%9"/>
      <w:lvlJc w:val="left"/>
      <w:pPr>
        <w:ind w:left="6841"/>
      </w:pPr>
      <w:rPr>
        <w:rFonts w:ascii="Calibri" w:eastAsia="Calibri" w:hAnsi="Calibri" w:cs="Calibri"/>
        <w:b w:val="0"/>
        <w:i w:val="0"/>
        <w:strike w:val="0"/>
        <w:dstrike w:val="0"/>
        <w:color w:val="38135D"/>
        <w:sz w:val="24"/>
        <w:szCs w:val="24"/>
        <w:u w:val="none" w:color="000000"/>
        <w:bdr w:val="none" w:sz="0" w:space="0" w:color="auto"/>
        <w:shd w:val="clear" w:color="auto" w:fill="auto"/>
        <w:vertAlign w:val="baseline"/>
      </w:rPr>
    </w:lvl>
  </w:abstractNum>
  <w:abstractNum w:abstractNumId="33" w15:restartNumberingAfterBreak="0">
    <w:nsid w:val="6DEA0594"/>
    <w:multiLevelType w:val="hybridMultilevel"/>
    <w:tmpl w:val="2F7E5AA6"/>
    <w:lvl w:ilvl="0" w:tplc="72D6152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0362393"/>
    <w:multiLevelType w:val="hybridMultilevel"/>
    <w:tmpl w:val="136215E0"/>
    <w:lvl w:ilvl="0" w:tplc="9DFE9EE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1EA6738"/>
    <w:multiLevelType w:val="hybridMultilevel"/>
    <w:tmpl w:val="460824B8"/>
    <w:lvl w:ilvl="0" w:tplc="5A422EF8">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36" w15:restartNumberingAfterBreak="0">
    <w:nsid w:val="753A0D18"/>
    <w:multiLevelType w:val="hybridMultilevel"/>
    <w:tmpl w:val="5DB0A4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A667DF1"/>
    <w:multiLevelType w:val="hybridMultilevel"/>
    <w:tmpl w:val="2B9428B0"/>
    <w:lvl w:ilvl="0" w:tplc="477CE14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CDB3F48"/>
    <w:multiLevelType w:val="hybridMultilevel"/>
    <w:tmpl w:val="F05CB96C"/>
    <w:lvl w:ilvl="0" w:tplc="FC96CDE2">
      <w:start w:val="1"/>
      <w:numFmt w:val="lowerRoman"/>
      <w:lvlText w:val="(%1)"/>
      <w:lvlJc w:val="left"/>
      <w:pPr>
        <w:ind w:left="1080" w:hanging="72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F802331"/>
    <w:multiLevelType w:val="hybridMultilevel"/>
    <w:tmpl w:val="0A22F83E"/>
    <w:lvl w:ilvl="0" w:tplc="00C0248A">
      <w:start w:val="1"/>
      <w:numFmt w:val="lowerRoman"/>
      <w:lvlText w:val="(%1)"/>
      <w:lvlJc w:val="left"/>
      <w:pPr>
        <w:ind w:left="1080" w:hanging="720"/>
      </w:pPr>
      <w:rPr>
        <w:rFonts w:cstheme="majorBidi" w:hint="default"/>
        <w:b/>
        <w:color w:val="0F4761" w:themeColor="accent1" w:themeShade="BF"/>
        <w:sz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44996050">
    <w:abstractNumId w:val="25"/>
  </w:num>
  <w:num w:numId="2" w16cid:durableId="1872645115">
    <w:abstractNumId w:val="9"/>
  </w:num>
  <w:num w:numId="3" w16cid:durableId="1424255569">
    <w:abstractNumId w:val="32"/>
  </w:num>
  <w:num w:numId="4" w16cid:durableId="1428038178">
    <w:abstractNumId w:val="36"/>
  </w:num>
  <w:num w:numId="5" w16cid:durableId="1822042065">
    <w:abstractNumId w:val="35"/>
  </w:num>
  <w:num w:numId="6" w16cid:durableId="767193773">
    <w:abstractNumId w:val="15"/>
  </w:num>
  <w:num w:numId="7" w16cid:durableId="6837528">
    <w:abstractNumId w:val="0"/>
  </w:num>
  <w:num w:numId="8" w16cid:durableId="201091604">
    <w:abstractNumId w:val="22"/>
  </w:num>
  <w:num w:numId="9" w16cid:durableId="2076273492">
    <w:abstractNumId w:val="12"/>
  </w:num>
  <w:num w:numId="10" w16cid:durableId="1534922970">
    <w:abstractNumId w:val="19"/>
  </w:num>
  <w:num w:numId="11" w16cid:durableId="552885467">
    <w:abstractNumId w:val="38"/>
  </w:num>
  <w:num w:numId="12" w16cid:durableId="730495555">
    <w:abstractNumId w:val="23"/>
  </w:num>
  <w:num w:numId="13" w16cid:durableId="1084954961">
    <w:abstractNumId w:val="2"/>
  </w:num>
  <w:num w:numId="14" w16cid:durableId="1609505244">
    <w:abstractNumId w:val="28"/>
  </w:num>
  <w:num w:numId="15" w16cid:durableId="1008824666">
    <w:abstractNumId w:val="34"/>
  </w:num>
  <w:num w:numId="16" w16cid:durableId="549923929">
    <w:abstractNumId w:val="11"/>
  </w:num>
  <w:num w:numId="17" w16cid:durableId="446659726">
    <w:abstractNumId w:val="27"/>
  </w:num>
  <w:num w:numId="18" w16cid:durableId="821776528">
    <w:abstractNumId w:val="1"/>
  </w:num>
  <w:num w:numId="19" w16cid:durableId="1898324331">
    <w:abstractNumId w:val="26"/>
  </w:num>
  <w:num w:numId="20" w16cid:durableId="1279068518">
    <w:abstractNumId w:val="24"/>
  </w:num>
  <w:num w:numId="21" w16cid:durableId="2091462169">
    <w:abstractNumId w:val="33"/>
  </w:num>
  <w:num w:numId="22" w16cid:durableId="1937902737">
    <w:abstractNumId w:val="16"/>
  </w:num>
  <w:num w:numId="23" w16cid:durableId="474221218">
    <w:abstractNumId w:val="4"/>
  </w:num>
  <w:num w:numId="24" w16cid:durableId="2134059201">
    <w:abstractNumId w:val="10"/>
  </w:num>
  <w:num w:numId="25" w16cid:durableId="808670292">
    <w:abstractNumId w:val="29"/>
  </w:num>
  <w:num w:numId="26" w16cid:durableId="466357917">
    <w:abstractNumId w:val="21"/>
  </w:num>
  <w:num w:numId="27" w16cid:durableId="469321313">
    <w:abstractNumId w:val="14"/>
  </w:num>
  <w:num w:numId="28" w16cid:durableId="2140217391">
    <w:abstractNumId w:val="17"/>
  </w:num>
  <w:num w:numId="29" w16cid:durableId="1322855749">
    <w:abstractNumId w:val="31"/>
  </w:num>
  <w:num w:numId="30" w16cid:durableId="1058095699">
    <w:abstractNumId w:val="8"/>
  </w:num>
  <w:num w:numId="31" w16cid:durableId="1587030216">
    <w:abstractNumId w:val="6"/>
  </w:num>
  <w:num w:numId="32" w16cid:durableId="991563568">
    <w:abstractNumId w:val="3"/>
  </w:num>
  <w:num w:numId="33" w16cid:durableId="350451233">
    <w:abstractNumId w:val="20"/>
  </w:num>
  <w:num w:numId="34" w16cid:durableId="365907989">
    <w:abstractNumId w:val="18"/>
  </w:num>
  <w:num w:numId="35" w16cid:durableId="1837574682">
    <w:abstractNumId w:val="7"/>
  </w:num>
  <w:num w:numId="36" w16cid:durableId="1973169243">
    <w:abstractNumId w:val="30"/>
  </w:num>
  <w:num w:numId="37" w16cid:durableId="347877096">
    <w:abstractNumId w:val="37"/>
  </w:num>
  <w:num w:numId="38" w16cid:durableId="1357654687">
    <w:abstractNumId w:val="5"/>
  </w:num>
  <w:num w:numId="39" w16cid:durableId="263660595">
    <w:abstractNumId w:val="39"/>
  </w:num>
  <w:num w:numId="40" w16cid:durableId="1878008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67"/>
    <w:rsid w:val="00000065"/>
    <w:rsid w:val="00000378"/>
    <w:rsid w:val="000009F2"/>
    <w:rsid w:val="00001188"/>
    <w:rsid w:val="0000135A"/>
    <w:rsid w:val="00001E9C"/>
    <w:rsid w:val="00002438"/>
    <w:rsid w:val="0000290D"/>
    <w:rsid w:val="000034B0"/>
    <w:rsid w:val="00003FD1"/>
    <w:rsid w:val="00004567"/>
    <w:rsid w:val="000049CF"/>
    <w:rsid w:val="00004C62"/>
    <w:rsid w:val="00004E0A"/>
    <w:rsid w:val="00004E8A"/>
    <w:rsid w:val="000050F4"/>
    <w:rsid w:val="000055EC"/>
    <w:rsid w:val="0000649A"/>
    <w:rsid w:val="00006F18"/>
    <w:rsid w:val="00006F97"/>
    <w:rsid w:val="000074BE"/>
    <w:rsid w:val="0001013E"/>
    <w:rsid w:val="0001090A"/>
    <w:rsid w:val="0001098B"/>
    <w:rsid w:val="00010EA3"/>
    <w:rsid w:val="00010EC5"/>
    <w:rsid w:val="00010EDF"/>
    <w:rsid w:val="00010FF7"/>
    <w:rsid w:val="00011781"/>
    <w:rsid w:val="000123C8"/>
    <w:rsid w:val="00012747"/>
    <w:rsid w:val="00012E99"/>
    <w:rsid w:val="0001303C"/>
    <w:rsid w:val="0001369E"/>
    <w:rsid w:val="00013C83"/>
    <w:rsid w:val="00013DBB"/>
    <w:rsid w:val="00013E1F"/>
    <w:rsid w:val="00013F50"/>
    <w:rsid w:val="00014190"/>
    <w:rsid w:val="0001448D"/>
    <w:rsid w:val="0001477D"/>
    <w:rsid w:val="00014887"/>
    <w:rsid w:val="00014A99"/>
    <w:rsid w:val="00015198"/>
    <w:rsid w:val="00015235"/>
    <w:rsid w:val="00016AE5"/>
    <w:rsid w:val="000179B5"/>
    <w:rsid w:val="00017F01"/>
    <w:rsid w:val="000201EC"/>
    <w:rsid w:val="00020B21"/>
    <w:rsid w:val="000217E7"/>
    <w:rsid w:val="00021890"/>
    <w:rsid w:val="00021D7E"/>
    <w:rsid w:val="00021EB5"/>
    <w:rsid w:val="00022019"/>
    <w:rsid w:val="00022F60"/>
    <w:rsid w:val="0002450A"/>
    <w:rsid w:val="000246E9"/>
    <w:rsid w:val="00024753"/>
    <w:rsid w:val="00024AD0"/>
    <w:rsid w:val="00024F93"/>
    <w:rsid w:val="00026610"/>
    <w:rsid w:val="00027F5C"/>
    <w:rsid w:val="00030348"/>
    <w:rsid w:val="00030BE1"/>
    <w:rsid w:val="000315A1"/>
    <w:rsid w:val="000328AA"/>
    <w:rsid w:val="00032C67"/>
    <w:rsid w:val="00033651"/>
    <w:rsid w:val="000339AA"/>
    <w:rsid w:val="000345D3"/>
    <w:rsid w:val="000346B4"/>
    <w:rsid w:val="0003576D"/>
    <w:rsid w:val="000369E6"/>
    <w:rsid w:val="00036DFF"/>
    <w:rsid w:val="00037055"/>
    <w:rsid w:val="000372EC"/>
    <w:rsid w:val="00037342"/>
    <w:rsid w:val="00037704"/>
    <w:rsid w:val="00037AEC"/>
    <w:rsid w:val="00040ADC"/>
    <w:rsid w:val="0004125C"/>
    <w:rsid w:val="00041378"/>
    <w:rsid w:val="00041F66"/>
    <w:rsid w:val="00042307"/>
    <w:rsid w:val="00042764"/>
    <w:rsid w:val="0004280B"/>
    <w:rsid w:val="00042C42"/>
    <w:rsid w:val="000431D0"/>
    <w:rsid w:val="000437DB"/>
    <w:rsid w:val="00043C0F"/>
    <w:rsid w:val="000440AF"/>
    <w:rsid w:val="00044B74"/>
    <w:rsid w:val="00044B7A"/>
    <w:rsid w:val="0004510B"/>
    <w:rsid w:val="0004588B"/>
    <w:rsid w:val="00045D3F"/>
    <w:rsid w:val="00046712"/>
    <w:rsid w:val="00046AA2"/>
    <w:rsid w:val="00050543"/>
    <w:rsid w:val="00051E3B"/>
    <w:rsid w:val="000520EC"/>
    <w:rsid w:val="000522D8"/>
    <w:rsid w:val="0005284D"/>
    <w:rsid w:val="000532FC"/>
    <w:rsid w:val="00053C7C"/>
    <w:rsid w:val="00054494"/>
    <w:rsid w:val="000547A8"/>
    <w:rsid w:val="00056A10"/>
    <w:rsid w:val="000572DD"/>
    <w:rsid w:val="00057B87"/>
    <w:rsid w:val="00060112"/>
    <w:rsid w:val="0006172B"/>
    <w:rsid w:val="000617B1"/>
    <w:rsid w:val="00062261"/>
    <w:rsid w:val="000633BC"/>
    <w:rsid w:val="00063620"/>
    <w:rsid w:val="000639EF"/>
    <w:rsid w:val="00063AF8"/>
    <w:rsid w:val="0006425D"/>
    <w:rsid w:val="00064478"/>
    <w:rsid w:val="00064B73"/>
    <w:rsid w:val="000654F2"/>
    <w:rsid w:val="00066294"/>
    <w:rsid w:val="000662F1"/>
    <w:rsid w:val="00067F81"/>
    <w:rsid w:val="00070E42"/>
    <w:rsid w:val="00070F3C"/>
    <w:rsid w:val="00071445"/>
    <w:rsid w:val="00071A5E"/>
    <w:rsid w:val="00071FF0"/>
    <w:rsid w:val="00072A6E"/>
    <w:rsid w:val="00073192"/>
    <w:rsid w:val="00073E6F"/>
    <w:rsid w:val="000744B5"/>
    <w:rsid w:val="00074558"/>
    <w:rsid w:val="00074E96"/>
    <w:rsid w:val="00075FD9"/>
    <w:rsid w:val="00076131"/>
    <w:rsid w:val="00076DE3"/>
    <w:rsid w:val="00077180"/>
    <w:rsid w:val="00077272"/>
    <w:rsid w:val="0007735B"/>
    <w:rsid w:val="00077A5A"/>
    <w:rsid w:val="000804F9"/>
    <w:rsid w:val="00080A1F"/>
    <w:rsid w:val="00081239"/>
    <w:rsid w:val="00082175"/>
    <w:rsid w:val="00082F15"/>
    <w:rsid w:val="000831E2"/>
    <w:rsid w:val="0008366D"/>
    <w:rsid w:val="00083E12"/>
    <w:rsid w:val="00083FE5"/>
    <w:rsid w:val="00084DC3"/>
    <w:rsid w:val="00084DEA"/>
    <w:rsid w:val="0008541A"/>
    <w:rsid w:val="00085487"/>
    <w:rsid w:val="00086323"/>
    <w:rsid w:val="000868A8"/>
    <w:rsid w:val="00087468"/>
    <w:rsid w:val="00087610"/>
    <w:rsid w:val="0008776B"/>
    <w:rsid w:val="00087C76"/>
    <w:rsid w:val="00087DC6"/>
    <w:rsid w:val="00090652"/>
    <w:rsid w:val="00091190"/>
    <w:rsid w:val="0009160E"/>
    <w:rsid w:val="00091ADC"/>
    <w:rsid w:val="00092151"/>
    <w:rsid w:val="000923C6"/>
    <w:rsid w:val="00092CF9"/>
    <w:rsid w:val="00092E39"/>
    <w:rsid w:val="000933D3"/>
    <w:rsid w:val="00093928"/>
    <w:rsid w:val="00093A6D"/>
    <w:rsid w:val="00093F95"/>
    <w:rsid w:val="00094A4E"/>
    <w:rsid w:val="0009538A"/>
    <w:rsid w:val="000959E9"/>
    <w:rsid w:val="0009647A"/>
    <w:rsid w:val="0009797E"/>
    <w:rsid w:val="000A0773"/>
    <w:rsid w:val="000A1A87"/>
    <w:rsid w:val="000A1C85"/>
    <w:rsid w:val="000A2085"/>
    <w:rsid w:val="000A242E"/>
    <w:rsid w:val="000A2815"/>
    <w:rsid w:val="000A3036"/>
    <w:rsid w:val="000A3324"/>
    <w:rsid w:val="000A6679"/>
    <w:rsid w:val="000A6B58"/>
    <w:rsid w:val="000A6DBF"/>
    <w:rsid w:val="000A6FC1"/>
    <w:rsid w:val="000A72DA"/>
    <w:rsid w:val="000A7577"/>
    <w:rsid w:val="000A7598"/>
    <w:rsid w:val="000A79C6"/>
    <w:rsid w:val="000A7E00"/>
    <w:rsid w:val="000B025D"/>
    <w:rsid w:val="000B0262"/>
    <w:rsid w:val="000B02A0"/>
    <w:rsid w:val="000B17B0"/>
    <w:rsid w:val="000B2047"/>
    <w:rsid w:val="000B2498"/>
    <w:rsid w:val="000B24EE"/>
    <w:rsid w:val="000B28AD"/>
    <w:rsid w:val="000B327F"/>
    <w:rsid w:val="000B3C70"/>
    <w:rsid w:val="000B3D7D"/>
    <w:rsid w:val="000B488F"/>
    <w:rsid w:val="000B4F9B"/>
    <w:rsid w:val="000B5558"/>
    <w:rsid w:val="000B7323"/>
    <w:rsid w:val="000B7878"/>
    <w:rsid w:val="000B7F39"/>
    <w:rsid w:val="000C07C8"/>
    <w:rsid w:val="000C0D7A"/>
    <w:rsid w:val="000C0E6B"/>
    <w:rsid w:val="000C2146"/>
    <w:rsid w:val="000C23C8"/>
    <w:rsid w:val="000C276D"/>
    <w:rsid w:val="000C2C6A"/>
    <w:rsid w:val="000C3649"/>
    <w:rsid w:val="000C40FB"/>
    <w:rsid w:val="000C4176"/>
    <w:rsid w:val="000C5569"/>
    <w:rsid w:val="000C56D1"/>
    <w:rsid w:val="000C5A16"/>
    <w:rsid w:val="000C5A68"/>
    <w:rsid w:val="000C5FB8"/>
    <w:rsid w:val="000C62E2"/>
    <w:rsid w:val="000C67FD"/>
    <w:rsid w:val="000C6F4F"/>
    <w:rsid w:val="000C7BD9"/>
    <w:rsid w:val="000C7DC8"/>
    <w:rsid w:val="000C7F0B"/>
    <w:rsid w:val="000D01E3"/>
    <w:rsid w:val="000D080A"/>
    <w:rsid w:val="000D0BEC"/>
    <w:rsid w:val="000D1363"/>
    <w:rsid w:val="000D19CC"/>
    <w:rsid w:val="000D1DB3"/>
    <w:rsid w:val="000D1E9D"/>
    <w:rsid w:val="000D1F18"/>
    <w:rsid w:val="000D235A"/>
    <w:rsid w:val="000D29F2"/>
    <w:rsid w:val="000D2DDF"/>
    <w:rsid w:val="000D2F96"/>
    <w:rsid w:val="000D3932"/>
    <w:rsid w:val="000D45DD"/>
    <w:rsid w:val="000D493D"/>
    <w:rsid w:val="000D4D6A"/>
    <w:rsid w:val="000D4E6F"/>
    <w:rsid w:val="000D5BF4"/>
    <w:rsid w:val="000D7806"/>
    <w:rsid w:val="000D786C"/>
    <w:rsid w:val="000D7B59"/>
    <w:rsid w:val="000E0AF2"/>
    <w:rsid w:val="000E0CB4"/>
    <w:rsid w:val="000E1D78"/>
    <w:rsid w:val="000E1DA9"/>
    <w:rsid w:val="000E2947"/>
    <w:rsid w:val="000E2A06"/>
    <w:rsid w:val="000E3362"/>
    <w:rsid w:val="000E35D6"/>
    <w:rsid w:val="000E3EF6"/>
    <w:rsid w:val="000E53D3"/>
    <w:rsid w:val="000E5B5B"/>
    <w:rsid w:val="000E620F"/>
    <w:rsid w:val="000E6371"/>
    <w:rsid w:val="000E69DC"/>
    <w:rsid w:val="000E7606"/>
    <w:rsid w:val="000E78A3"/>
    <w:rsid w:val="000F019D"/>
    <w:rsid w:val="000F0275"/>
    <w:rsid w:val="000F06FD"/>
    <w:rsid w:val="000F0B28"/>
    <w:rsid w:val="000F2308"/>
    <w:rsid w:val="000F3098"/>
    <w:rsid w:val="000F3F6F"/>
    <w:rsid w:val="000F5966"/>
    <w:rsid w:val="000F5E26"/>
    <w:rsid w:val="000F5F04"/>
    <w:rsid w:val="000F66DD"/>
    <w:rsid w:val="000F6738"/>
    <w:rsid w:val="000F67A2"/>
    <w:rsid w:val="000F6B1C"/>
    <w:rsid w:val="000F7BF6"/>
    <w:rsid w:val="001009CC"/>
    <w:rsid w:val="00100BD6"/>
    <w:rsid w:val="00100FA7"/>
    <w:rsid w:val="001018B1"/>
    <w:rsid w:val="00101B88"/>
    <w:rsid w:val="00101E90"/>
    <w:rsid w:val="0010204B"/>
    <w:rsid w:val="00102146"/>
    <w:rsid w:val="001022BC"/>
    <w:rsid w:val="00102574"/>
    <w:rsid w:val="001029DF"/>
    <w:rsid w:val="00102A47"/>
    <w:rsid w:val="00102E74"/>
    <w:rsid w:val="00102F42"/>
    <w:rsid w:val="001031FB"/>
    <w:rsid w:val="00103271"/>
    <w:rsid w:val="0010398F"/>
    <w:rsid w:val="00103ABA"/>
    <w:rsid w:val="00103D6F"/>
    <w:rsid w:val="00104094"/>
    <w:rsid w:val="00104BE3"/>
    <w:rsid w:val="00104DF6"/>
    <w:rsid w:val="00105830"/>
    <w:rsid w:val="00105B32"/>
    <w:rsid w:val="00105D9A"/>
    <w:rsid w:val="001066A4"/>
    <w:rsid w:val="00107065"/>
    <w:rsid w:val="001074E6"/>
    <w:rsid w:val="001076B4"/>
    <w:rsid w:val="00107AEC"/>
    <w:rsid w:val="00110098"/>
    <w:rsid w:val="0011077A"/>
    <w:rsid w:val="00110B06"/>
    <w:rsid w:val="00110DE3"/>
    <w:rsid w:val="001118B3"/>
    <w:rsid w:val="00111E59"/>
    <w:rsid w:val="00111EE3"/>
    <w:rsid w:val="00111F16"/>
    <w:rsid w:val="00111F91"/>
    <w:rsid w:val="00113029"/>
    <w:rsid w:val="00113752"/>
    <w:rsid w:val="001149DA"/>
    <w:rsid w:val="00115569"/>
    <w:rsid w:val="00115C9F"/>
    <w:rsid w:val="0011604B"/>
    <w:rsid w:val="001164BA"/>
    <w:rsid w:val="00117030"/>
    <w:rsid w:val="00117632"/>
    <w:rsid w:val="00117AF6"/>
    <w:rsid w:val="00117CE6"/>
    <w:rsid w:val="00120E29"/>
    <w:rsid w:val="001214EA"/>
    <w:rsid w:val="00121E59"/>
    <w:rsid w:val="00121F69"/>
    <w:rsid w:val="00122249"/>
    <w:rsid w:val="001229C3"/>
    <w:rsid w:val="00123AFC"/>
    <w:rsid w:val="00123D67"/>
    <w:rsid w:val="00123E83"/>
    <w:rsid w:val="001246DB"/>
    <w:rsid w:val="00124750"/>
    <w:rsid w:val="00124DD5"/>
    <w:rsid w:val="001251CB"/>
    <w:rsid w:val="0012569F"/>
    <w:rsid w:val="0012572D"/>
    <w:rsid w:val="001258B6"/>
    <w:rsid w:val="00126B65"/>
    <w:rsid w:val="00126F7A"/>
    <w:rsid w:val="00127088"/>
    <w:rsid w:val="001274C3"/>
    <w:rsid w:val="0012759C"/>
    <w:rsid w:val="00127CF0"/>
    <w:rsid w:val="00130132"/>
    <w:rsid w:val="0013022A"/>
    <w:rsid w:val="00130563"/>
    <w:rsid w:val="00130B57"/>
    <w:rsid w:val="00130B87"/>
    <w:rsid w:val="001314E1"/>
    <w:rsid w:val="00131709"/>
    <w:rsid w:val="001318F3"/>
    <w:rsid w:val="00131E88"/>
    <w:rsid w:val="001322EC"/>
    <w:rsid w:val="00133220"/>
    <w:rsid w:val="0013446B"/>
    <w:rsid w:val="0013463B"/>
    <w:rsid w:val="00134F8C"/>
    <w:rsid w:val="00135190"/>
    <w:rsid w:val="00135EBE"/>
    <w:rsid w:val="001365B8"/>
    <w:rsid w:val="001365E4"/>
    <w:rsid w:val="00137133"/>
    <w:rsid w:val="00137400"/>
    <w:rsid w:val="00137736"/>
    <w:rsid w:val="00141141"/>
    <w:rsid w:val="0014127B"/>
    <w:rsid w:val="00141500"/>
    <w:rsid w:val="00141E55"/>
    <w:rsid w:val="00142C53"/>
    <w:rsid w:val="00143362"/>
    <w:rsid w:val="00143C58"/>
    <w:rsid w:val="00143D9E"/>
    <w:rsid w:val="00144993"/>
    <w:rsid w:val="0014508B"/>
    <w:rsid w:val="00145284"/>
    <w:rsid w:val="001455FB"/>
    <w:rsid w:val="00146139"/>
    <w:rsid w:val="001464B2"/>
    <w:rsid w:val="001465F4"/>
    <w:rsid w:val="00146E30"/>
    <w:rsid w:val="0014760C"/>
    <w:rsid w:val="00147681"/>
    <w:rsid w:val="001501F1"/>
    <w:rsid w:val="001503B1"/>
    <w:rsid w:val="00150642"/>
    <w:rsid w:val="001509C3"/>
    <w:rsid w:val="00150B21"/>
    <w:rsid w:val="00150DD2"/>
    <w:rsid w:val="001512FE"/>
    <w:rsid w:val="0015152A"/>
    <w:rsid w:val="001524D7"/>
    <w:rsid w:val="001525CD"/>
    <w:rsid w:val="00152DE6"/>
    <w:rsid w:val="0015312A"/>
    <w:rsid w:val="001534D0"/>
    <w:rsid w:val="00153608"/>
    <w:rsid w:val="00153A75"/>
    <w:rsid w:val="00153BF3"/>
    <w:rsid w:val="00153DFA"/>
    <w:rsid w:val="00154245"/>
    <w:rsid w:val="00154DE4"/>
    <w:rsid w:val="0015608F"/>
    <w:rsid w:val="00157D4A"/>
    <w:rsid w:val="00160676"/>
    <w:rsid w:val="001610E5"/>
    <w:rsid w:val="00161448"/>
    <w:rsid w:val="001615A4"/>
    <w:rsid w:val="00161658"/>
    <w:rsid w:val="00161990"/>
    <w:rsid w:val="00161B3D"/>
    <w:rsid w:val="00161D55"/>
    <w:rsid w:val="00161F0A"/>
    <w:rsid w:val="00162595"/>
    <w:rsid w:val="00163680"/>
    <w:rsid w:val="00163C93"/>
    <w:rsid w:val="00163DC6"/>
    <w:rsid w:val="0016404C"/>
    <w:rsid w:val="00164915"/>
    <w:rsid w:val="0016492B"/>
    <w:rsid w:val="00164BC1"/>
    <w:rsid w:val="0016548F"/>
    <w:rsid w:val="00165847"/>
    <w:rsid w:val="00165A9E"/>
    <w:rsid w:val="0016642D"/>
    <w:rsid w:val="0016760F"/>
    <w:rsid w:val="00167A05"/>
    <w:rsid w:val="00167A50"/>
    <w:rsid w:val="00167DC0"/>
    <w:rsid w:val="001713F3"/>
    <w:rsid w:val="00171521"/>
    <w:rsid w:val="00171DDE"/>
    <w:rsid w:val="00172485"/>
    <w:rsid w:val="00172680"/>
    <w:rsid w:val="001729FF"/>
    <w:rsid w:val="00172EA4"/>
    <w:rsid w:val="00173185"/>
    <w:rsid w:val="0017324F"/>
    <w:rsid w:val="00173748"/>
    <w:rsid w:val="00174096"/>
    <w:rsid w:val="0017419A"/>
    <w:rsid w:val="0017480A"/>
    <w:rsid w:val="00174D4E"/>
    <w:rsid w:val="00174DCB"/>
    <w:rsid w:val="00174E99"/>
    <w:rsid w:val="00174F07"/>
    <w:rsid w:val="00174F26"/>
    <w:rsid w:val="00175345"/>
    <w:rsid w:val="0017554E"/>
    <w:rsid w:val="00175A01"/>
    <w:rsid w:val="00175CC4"/>
    <w:rsid w:val="00175D4E"/>
    <w:rsid w:val="00176F3B"/>
    <w:rsid w:val="0017708F"/>
    <w:rsid w:val="001775D8"/>
    <w:rsid w:val="00177A2A"/>
    <w:rsid w:val="0018036B"/>
    <w:rsid w:val="001808E4"/>
    <w:rsid w:val="00180E41"/>
    <w:rsid w:val="001813AC"/>
    <w:rsid w:val="00181BEC"/>
    <w:rsid w:val="00181DBA"/>
    <w:rsid w:val="00182035"/>
    <w:rsid w:val="001844B4"/>
    <w:rsid w:val="001847B0"/>
    <w:rsid w:val="0018510A"/>
    <w:rsid w:val="00185291"/>
    <w:rsid w:val="00185AF8"/>
    <w:rsid w:val="001862F8"/>
    <w:rsid w:val="00186F98"/>
    <w:rsid w:val="00187BC5"/>
    <w:rsid w:val="00187C4F"/>
    <w:rsid w:val="00187EB0"/>
    <w:rsid w:val="00190097"/>
    <w:rsid w:val="00190C31"/>
    <w:rsid w:val="00191134"/>
    <w:rsid w:val="00191971"/>
    <w:rsid w:val="0019227F"/>
    <w:rsid w:val="0019289F"/>
    <w:rsid w:val="00192AEC"/>
    <w:rsid w:val="0019368A"/>
    <w:rsid w:val="00193D94"/>
    <w:rsid w:val="001940CB"/>
    <w:rsid w:val="0019427B"/>
    <w:rsid w:val="001962AB"/>
    <w:rsid w:val="00196316"/>
    <w:rsid w:val="00196D14"/>
    <w:rsid w:val="00197A50"/>
    <w:rsid w:val="00197EDA"/>
    <w:rsid w:val="001A02D0"/>
    <w:rsid w:val="001A04BF"/>
    <w:rsid w:val="001A05D4"/>
    <w:rsid w:val="001A1228"/>
    <w:rsid w:val="001A38F9"/>
    <w:rsid w:val="001A3CC4"/>
    <w:rsid w:val="001A4C1B"/>
    <w:rsid w:val="001A4DE6"/>
    <w:rsid w:val="001A4F31"/>
    <w:rsid w:val="001A51B1"/>
    <w:rsid w:val="001A6AA3"/>
    <w:rsid w:val="001A73CA"/>
    <w:rsid w:val="001A765A"/>
    <w:rsid w:val="001B0380"/>
    <w:rsid w:val="001B0B1F"/>
    <w:rsid w:val="001B0D8A"/>
    <w:rsid w:val="001B18BE"/>
    <w:rsid w:val="001B23DF"/>
    <w:rsid w:val="001B2DD5"/>
    <w:rsid w:val="001B2F64"/>
    <w:rsid w:val="001B3FD5"/>
    <w:rsid w:val="001B4802"/>
    <w:rsid w:val="001B4966"/>
    <w:rsid w:val="001B4CBD"/>
    <w:rsid w:val="001B652C"/>
    <w:rsid w:val="001B682C"/>
    <w:rsid w:val="001B696C"/>
    <w:rsid w:val="001B757D"/>
    <w:rsid w:val="001B7EA2"/>
    <w:rsid w:val="001C022C"/>
    <w:rsid w:val="001C028C"/>
    <w:rsid w:val="001C02E7"/>
    <w:rsid w:val="001C0460"/>
    <w:rsid w:val="001C0807"/>
    <w:rsid w:val="001C0CCD"/>
    <w:rsid w:val="001C1275"/>
    <w:rsid w:val="001C1527"/>
    <w:rsid w:val="001C16A3"/>
    <w:rsid w:val="001C274A"/>
    <w:rsid w:val="001C2AC5"/>
    <w:rsid w:val="001C2CED"/>
    <w:rsid w:val="001C2E85"/>
    <w:rsid w:val="001C3F87"/>
    <w:rsid w:val="001C41A8"/>
    <w:rsid w:val="001C4289"/>
    <w:rsid w:val="001C45FD"/>
    <w:rsid w:val="001C4688"/>
    <w:rsid w:val="001C4740"/>
    <w:rsid w:val="001C63BA"/>
    <w:rsid w:val="001C652D"/>
    <w:rsid w:val="001C6791"/>
    <w:rsid w:val="001C6B7B"/>
    <w:rsid w:val="001C6F05"/>
    <w:rsid w:val="001C7354"/>
    <w:rsid w:val="001D00CB"/>
    <w:rsid w:val="001D04F9"/>
    <w:rsid w:val="001D0A12"/>
    <w:rsid w:val="001D0B36"/>
    <w:rsid w:val="001D1730"/>
    <w:rsid w:val="001D1D03"/>
    <w:rsid w:val="001D241B"/>
    <w:rsid w:val="001D2AA3"/>
    <w:rsid w:val="001D4876"/>
    <w:rsid w:val="001D49A0"/>
    <w:rsid w:val="001D4C8C"/>
    <w:rsid w:val="001D4E00"/>
    <w:rsid w:val="001D532C"/>
    <w:rsid w:val="001D5B52"/>
    <w:rsid w:val="001D673D"/>
    <w:rsid w:val="001D719D"/>
    <w:rsid w:val="001D7645"/>
    <w:rsid w:val="001D766E"/>
    <w:rsid w:val="001D7A23"/>
    <w:rsid w:val="001E0D81"/>
    <w:rsid w:val="001E1667"/>
    <w:rsid w:val="001E16C8"/>
    <w:rsid w:val="001E18F7"/>
    <w:rsid w:val="001E2F4E"/>
    <w:rsid w:val="001E3D53"/>
    <w:rsid w:val="001E56C8"/>
    <w:rsid w:val="001E6118"/>
    <w:rsid w:val="001E6BA8"/>
    <w:rsid w:val="001E6E36"/>
    <w:rsid w:val="001E7252"/>
    <w:rsid w:val="001E77DC"/>
    <w:rsid w:val="001E7AB1"/>
    <w:rsid w:val="001E7EA5"/>
    <w:rsid w:val="001F08E2"/>
    <w:rsid w:val="001F0F88"/>
    <w:rsid w:val="001F117B"/>
    <w:rsid w:val="001F142D"/>
    <w:rsid w:val="001F16F5"/>
    <w:rsid w:val="001F19B0"/>
    <w:rsid w:val="001F1ED0"/>
    <w:rsid w:val="001F1F6B"/>
    <w:rsid w:val="001F240D"/>
    <w:rsid w:val="001F3234"/>
    <w:rsid w:val="001F36E0"/>
    <w:rsid w:val="001F3A80"/>
    <w:rsid w:val="001F3C0E"/>
    <w:rsid w:val="001F3FEF"/>
    <w:rsid w:val="001F5128"/>
    <w:rsid w:val="001F5C8C"/>
    <w:rsid w:val="001F605B"/>
    <w:rsid w:val="001F61D0"/>
    <w:rsid w:val="001F6662"/>
    <w:rsid w:val="001F6E11"/>
    <w:rsid w:val="001F6EDA"/>
    <w:rsid w:val="0020064B"/>
    <w:rsid w:val="00200F85"/>
    <w:rsid w:val="00201286"/>
    <w:rsid w:val="00201A2A"/>
    <w:rsid w:val="00201CC4"/>
    <w:rsid w:val="00202784"/>
    <w:rsid w:val="00203962"/>
    <w:rsid w:val="00203D5D"/>
    <w:rsid w:val="00203F80"/>
    <w:rsid w:val="00204240"/>
    <w:rsid w:val="0020466D"/>
    <w:rsid w:val="002046AF"/>
    <w:rsid w:val="0020551C"/>
    <w:rsid w:val="00205F75"/>
    <w:rsid w:val="00206733"/>
    <w:rsid w:val="002067BB"/>
    <w:rsid w:val="002067ED"/>
    <w:rsid w:val="0021011F"/>
    <w:rsid w:val="00210C02"/>
    <w:rsid w:val="002110EC"/>
    <w:rsid w:val="0021147E"/>
    <w:rsid w:val="00211552"/>
    <w:rsid w:val="00211BFF"/>
    <w:rsid w:val="00211E42"/>
    <w:rsid w:val="00212482"/>
    <w:rsid w:val="00212561"/>
    <w:rsid w:val="00212ECC"/>
    <w:rsid w:val="00213069"/>
    <w:rsid w:val="0021368B"/>
    <w:rsid w:val="00213978"/>
    <w:rsid w:val="00214579"/>
    <w:rsid w:val="00214930"/>
    <w:rsid w:val="0021510D"/>
    <w:rsid w:val="00215345"/>
    <w:rsid w:val="00215FE4"/>
    <w:rsid w:val="0021623C"/>
    <w:rsid w:val="00216BAF"/>
    <w:rsid w:val="002176DA"/>
    <w:rsid w:val="00217872"/>
    <w:rsid w:val="00217904"/>
    <w:rsid w:val="00217FAA"/>
    <w:rsid w:val="002207A1"/>
    <w:rsid w:val="00220A9C"/>
    <w:rsid w:val="00220C7F"/>
    <w:rsid w:val="00220D7A"/>
    <w:rsid w:val="00221912"/>
    <w:rsid w:val="00221BB7"/>
    <w:rsid w:val="00221DFD"/>
    <w:rsid w:val="002223B7"/>
    <w:rsid w:val="00222490"/>
    <w:rsid w:val="002224CB"/>
    <w:rsid w:val="00222892"/>
    <w:rsid w:val="0022348B"/>
    <w:rsid w:val="00224628"/>
    <w:rsid w:val="00224F70"/>
    <w:rsid w:val="00225593"/>
    <w:rsid w:val="00226133"/>
    <w:rsid w:val="002264DF"/>
    <w:rsid w:val="00226CA8"/>
    <w:rsid w:val="00226D77"/>
    <w:rsid w:val="00230DB0"/>
    <w:rsid w:val="002310B0"/>
    <w:rsid w:val="002311E3"/>
    <w:rsid w:val="00231F32"/>
    <w:rsid w:val="00232AD3"/>
    <w:rsid w:val="00233377"/>
    <w:rsid w:val="00233753"/>
    <w:rsid w:val="00233893"/>
    <w:rsid w:val="00233A4C"/>
    <w:rsid w:val="00234478"/>
    <w:rsid w:val="002344D3"/>
    <w:rsid w:val="00234721"/>
    <w:rsid w:val="0023478D"/>
    <w:rsid w:val="00235787"/>
    <w:rsid w:val="0023579F"/>
    <w:rsid w:val="00235EB0"/>
    <w:rsid w:val="00236998"/>
    <w:rsid w:val="00236C55"/>
    <w:rsid w:val="0023789E"/>
    <w:rsid w:val="00237BA6"/>
    <w:rsid w:val="00240D17"/>
    <w:rsid w:val="00241CAA"/>
    <w:rsid w:val="002423C1"/>
    <w:rsid w:val="00242935"/>
    <w:rsid w:val="00242945"/>
    <w:rsid w:val="00244684"/>
    <w:rsid w:val="00245446"/>
    <w:rsid w:val="00245AE1"/>
    <w:rsid w:val="0024727C"/>
    <w:rsid w:val="00247ED7"/>
    <w:rsid w:val="00250900"/>
    <w:rsid w:val="0025115E"/>
    <w:rsid w:val="00251391"/>
    <w:rsid w:val="00251687"/>
    <w:rsid w:val="002518CD"/>
    <w:rsid w:val="00251BDB"/>
    <w:rsid w:val="00251D20"/>
    <w:rsid w:val="00251F4B"/>
    <w:rsid w:val="002524EC"/>
    <w:rsid w:val="0025285E"/>
    <w:rsid w:val="00254235"/>
    <w:rsid w:val="002545EE"/>
    <w:rsid w:val="00254B58"/>
    <w:rsid w:val="00254D87"/>
    <w:rsid w:val="0025525A"/>
    <w:rsid w:val="00255541"/>
    <w:rsid w:val="0025628C"/>
    <w:rsid w:val="0025774D"/>
    <w:rsid w:val="0025791E"/>
    <w:rsid w:val="00260357"/>
    <w:rsid w:val="00261FBF"/>
    <w:rsid w:val="00262755"/>
    <w:rsid w:val="00263231"/>
    <w:rsid w:val="00263891"/>
    <w:rsid w:val="00264219"/>
    <w:rsid w:val="00265379"/>
    <w:rsid w:val="0026549A"/>
    <w:rsid w:val="002664CA"/>
    <w:rsid w:val="00266E07"/>
    <w:rsid w:val="002670D5"/>
    <w:rsid w:val="00267492"/>
    <w:rsid w:val="00270449"/>
    <w:rsid w:val="002705E4"/>
    <w:rsid w:val="002706BB"/>
    <w:rsid w:val="002707DD"/>
    <w:rsid w:val="00270CD3"/>
    <w:rsid w:val="00271CC2"/>
    <w:rsid w:val="00271FAE"/>
    <w:rsid w:val="0027264C"/>
    <w:rsid w:val="002729A4"/>
    <w:rsid w:val="00272AA2"/>
    <w:rsid w:val="002732F9"/>
    <w:rsid w:val="002733CC"/>
    <w:rsid w:val="00273AE4"/>
    <w:rsid w:val="00274C15"/>
    <w:rsid w:val="002753F9"/>
    <w:rsid w:val="0027551E"/>
    <w:rsid w:val="002756F5"/>
    <w:rsid w:val="00275850"/>
    <w:rsid w:val="00275E1C"/>
    <w:rsid w:val="00276278"/>
    <w:rsid w:val="00276A13"/>
    <w:rsid w:val="002775EA"/>
    <w:rsid w:val="00277C0C"/>
    <w:rsid w:val="00277C90"/>
    <w:rsid w:val="00277D3B"/>
    <w:rsid w:val="00277E90"/>
    <w:rsid w:val="00280BF9"/>
    <w:rsid w:val="00280E63"/>
    <w:rsid w:val="00281059"/>
    <w:rsid w:val="00281507"/>
    <w:rsid w:val="00281685"/>
    <w:rsid w:val="00281984"/>
    <w:rsid w:val="00281C8D"/>
    <w:rsid w:val="00282505"/>
    <w:rsid w:val="0028311C"/>
    <w:rsid w:val="00283867"/>
    <w:rsid w:val="002844CA"/>
    <w:rsid w:val="00284534"/>
    <w:rsid w:val="002851E8"/>
    <w:rsid w:val="002859B0"/>
    <w:rsid w:val="002860BB"/>
    <w:rsid w:val="00286198"/>
    <w:rsid w:val="00286BBB"/>
    <w:rsid w:val="00286EA7"/>
    <w:rsid w:val="00290456"/>
    <w:rsid w:val="002915A3"/>
    <w:rsid w:val="00292353"/>
    <w:rsid w:val="00292C55"/>
    <w:rsid w:val="002942A8"/>
    <w:rsid w:val="00294973"/>
    <w:rsid w:val="002958F6"/>
    <w:rsid w:val="002962B0"/>
    <w:rsid w:val="00297116"/>
    <w:rsid w:val="002A07BD"/>
    <w:rsid w:val="002A0AFC"/>
    <w:rsid w:val="002A0B25"/>
    <w:rsid w:val="002A19F3"/>
    <w:rsid w:val="002A1AEF"/>
    <w:rsid w:val="002A1F5A"/>
    <w:rsid w:val="002A248A"/>
    <w:rsid w:val="002A2974"/>
    <w:rsid w:val="002A2B0F"/>
    <w:rsid w:val="002A31AF"/>
    <w:rsid w:val="002A4F11"/>
    <w:rsid w:val="002A548F"/>
    <w:rsid w:val="002A5A1B"/>
    <w:rsid w:val="002A5DF7"/>
    <w:rsid w:val="002A6187"/>
    <w:rsid w:val="002A6C9D"/>
    <w:rsid w:val="002A6E97"/>
    <w:rsid w:val="002A6FE2"/>
    <w:rsid w:val="002A7B1B"/>
    <w:rsid w:val="002A7CAC"/>
    <w:rsid w:val="002B0C0C"/>
    <w:rsid w:val="002B29D1"/>
    <w:rsid w:val="002B3195"/>
    <w:rsid w:val="002B3894"/>
    <w:rsid w:val="002B3ED0"/>
    <w:rsid w:val="002B482D"/>
    <w:rsid w:val="002B4B21"/>
    <w:rsid w:val="002B612D"/>
    <w:rsid w:val="002B61CF"/>
    <w:rsid w:val="002B64B0"/>
    <w:rsid w:val="002B66A4"/>
    <w:rsid w:val="002B6902"/>
    <w:rsid w:val="002B6B54"/>
    <w:rsid w:val="002B7915"/>
    <w:rsid w:val="002B7BB9"/>
    <w:rsid w:val="002C058B"/>
    <w:rsid w:val="002C08BD"/>
    <w:rsid w:val="002C1034"/>
    <w:rsid w:val="002C176D"/>
    <w:rsid w:val="002C18DA"/>
    <w:rsid w:val="002C18FA"/>
    <w:rsid w:val="002C1926"/>
    <w:rsid w:val="002C1EC3"/>
    <w:rsid w:val="002C22E8"/>
    <w:rsid w:val="002C2B4F"/>
    <w:rsid w:val="002C2C21"/>
    <w:rsid w:val="002C3915"/>
    <w:rsid w:val="002C4370"/>
    <w:rsid w:val="002C463C"/>
    <w:rsid w:val="002C46CE"/>
    <w:rsid w:val="002C5297"/>
    <w:rsid w:val="002C57E9"/>
    <w:rsid w:val="002C6362"/>
    <w:rsid w:val="002C668C"/>
    <w:rsid w:val="002C67FA"/>
    <w:rsid w:val="002C6963"/>
    <w:rsid w:val="002C6DC8"/>
    <w:rsid w:val="002C6DD5"/>
    <w:rsid w:val="002C789E"/>
    <w:rsid w:val="002C7CBB"/>
    <w:rsid w:val="002D00A2"/>
    <w:rsid w:val="002D06A6"/>
    <w:rsid w:val="002D0784"/>
    <w:rsid w:val="002D0CB4"/>
    <w:rsid w:val="002D118B"/>
    <w:rsid w:val="002D1200"/>
    <w:rsid w:val="002D13E5"/>
    <w:rsid w:val="002D22B7"/>
    <w:rsid w:val="002D2788"/>
    <w:rsid w:val="002D2A55"/>
    <w:rsid w:val="002D36EA"/>
    <w:rsid w:val="002D3AE5"/>
    <w:rsid w:val="002D58FF"/>
    <w:rsid w:val="002D5E4D"/>
    <w:rsid w:val="002D6558"/>
    <w:rsid w:val="002D6D2F"/>
    <w:rsid w:val="002D736D"/>
    <w:rsid w:val="002D73D7"/>
    <w:rsid w:val="002D77E0"/>
    <w:rsid w:val="002E0566"/>
    <w:rsid w:val="002E0A67"/>
    <w:rsid w:val="002E28B3"/>
    <w:rsid w:val="002E2E59"/>
    <w:rsid w:val="002E2FEC"/>
    <w:rsid w:val="002E33BB"/>
    <w:rsid w:val="002E3483"/>
    <w:rsid w:val="002E3DE1"/>
    <w:rsid w:val="002E44DB"/>
    <w:rsid w:val="002E486E"/>
    <w:rsid w:val="002E5ACA"/>
    <w:rsid w:val="002F024A"/>
    <w:rsid w:val="002F03EA"/>
    <w:rsid w:val="002F0442"/>
    <w:rsid w:val="002F0553"/>
    <w:rsid w:val="002F0DCB"/>
    <w:rsid w:val="002F1312"/>
    <w:rsid w:val="002F16CF"/>
    <w:rsid w:val="002F1E34"/>
    <w:rsid w:val="002F3511"/>
    <w:rsid w:val="002F3606"/>
    <w:rsid w:val="002F44DB"/>
    <w:rsid w:val="002F5EC2"/>
    <w:rsid w:val="002F70F4"/>
    <w:rsid w:val="00301018"/>
    <w:rsid w:val="003015A3"/>
    <w:rsid w:val="003019E2"/>
    <w:rsid w:val="00301BEE"/>
    <w:rsid w:val="00301F6C"/>
    <w:rsid w:val="00302ED9"/>
    <w:rsid w:val="00304884"/>
    <w:rsid w:val="00304B34"/>
    <w:rsid w:val="00304CD7"/>
    <w:rsid w:val="0030582E"/>
    <w:rsid w:val="00306932"/>
    <w:rsid w:val="003075AF"/>
    <w:rsid w:val="00307A38"/>
    <w:rsid w:val="003103AE"/>
    <w:rsid w:val="003103E5"/>
    <w:rsid w:val="00310A7A"/>
    <w:rsid w:val="00310D95"/>
    <w:rsid w:val="0031189B"/>
    <w:rsid w:val="00311D73"/>
    <w:rsid w:val="00311D75"/>
    <w:rsid w:val="00311EB1"/>
    <w:rsid w:val="00312105"/>
    <w:rsid w:val="0031247C"/>
    <w:rsid w:val="00312A5B"/>
    <w:rsid w:val="00312D5F"/>
    <w:rsid w:val="00312DDC"/>
    <w:rsid w:val="00313116"/>
    <w:rsid w:val="00313748"/>
    <w:rsid w:val="0031385C"/>
    <w:rsid w:val="00314BD4"/>
    <w:rsid w:val="00316DB0"/>
    <w:rsid w:val="0031797E"/>
    <w:rsid w:val="00320361"/>
    <w:rsid w:val="0032095F"/>
    <w:rsid w:val="0032134C"/>
    <w:rsid w:val="00321784"/>
    <w:rsid w:val="0032199B"/>
    <w:rsid w:val="003219B5"/>
    <w:rsid w:val="003228FE"/>
    <w:rsid w:val="00322DB4"/>
    <w:rsid w:val="00323238"/>
    <w:rsid w:val="00323339"/>
    <w:rsid w:val="0032356F"/>
    <w:rsid w:val="00323880"/>
    <w:rsid w:val="003243E0"/>
    <w:rsid w:val="00324755"/>
    <w:rsid w:val="00324C83"/>
    <w:rsid w:val="0032526D"/>
    <w:rsid w:val="00325635"/>
    <w:rsid w:val="00325820"/>
    <w:rsid w:val="00325C00"/>
    <w:rsid w:val="00325C85"/>
    <w:rsid w:val="00326C3D"/>
    <w:rsid w:val="00326DA4"/>
    <w:rsid w:val="00326DE0"/>
    <w:rsid w:val="003275D5"/>
    <w:rsid w:val="00327869"/>
    <w:rsid w:val="00330531"/>
    <w:rsid w:val="00330CE2"/>
    <w:rsid w:val="00331695"/>
    <w:rsid w:val="003316E3"/>
    <w:rsid w:val="00332CA7"/>
    <w:rsid w:val="003334A2"/>
    <w:rsid w:val="00334120"/>
    <w:rsid w:val="003341EA"/>
    <w:rsid w:val="0033597A"/>
    <w:rsid w:val="00335B4D"/>
    <w:rsid w:val="00336316"/>
    <w:rsid w:val="00336569"/>
    <w:rsid w:val="00336D83"/>
    <w:rsid w:val="003375B7"/>
    <w:rsid w:val="003376DD"/>
    <w:rsid w:val="003376E0"/>
    <w:rsid w:val="00337CDB"/>
    <w:rsid w:val="00341284"/>
    <w:rsid w:val="00341EBB"/>
    <w:rsid w:val="0034208B"/>
    <w:rsid w:val="003429F6"/>
    <w:rsid w:val="003439CA"/>
    <w:rsid w:val="00343BAC"/>
    <w:rsid w:val="00344BAC"/>
    <w:rsid w:val="00344F6A"/>
    <w:rsid w:val="00345060"/>
    <w:rsid w:val="0034550E"/>
    <w:rsid w:val="00345F40"/>
    <w:rsid w:val="003464DF"/>
    <w:rsid w:val="00346682"/>
    <w:rsid w:val="00346A64"/>
    <w:rsid w:val="00347356"/>
    <w:rsid w:val="00347A91"/>
    <w:rsid w:val="00350384"/>
    <w:rsid w:val="00350959"/>
    <w:rsid w:val="00350D7B"/>
    <w:rsid w:val="00351065"/>
    <w:rsid w:val="003518F1"/>
    <w:rsid w:val="003525B2"/>
    <w:rsid w:val="00352715"/>
    <w:rsid w:val="00352A2D"/>
    <w:rsid w:val="00353AF8"/>
    <w:rsid w:val="00353E24"/>
    <w:rsid w:val="003541CB"/>
    <w:rsid w:val="003543A6"/>
    <w:rsid w:val="00355642"/>
    <w:rsid w:val="00355947"/>
    <w:rsid w:val="00355E43"/>
    <w:rsid w:val="003568E0"/>
    <w:rsid w:val="00356AFA"/>
    <w:rsid w:val="003577DF"/>
    <w:rsid w:val="00357FF7"/>
    <w:rsid w:val="00360B9A"/>
    <w:rsid w:val="0036132A"/>
    <w:rsid w:val="00361351"/>
    <w:rsid w:val="00361380"/>
    <w:rsid w:val="003614C6"/>
    <w:rsid w:val="0036161F"/>
    <w:rsid w:val="0036205E"/>
    <w:rsid w:val="003627AA"/>
    <w:rsid w:val="003632A6"/>
    <w:rsid w:val="003642A5"/>
    <w:rsid w:val="003649C1"/>
    <w:rsid w:val="00364FCA"/>
    <w:rsid w:val="003650C8"/>
    <w:rsid w:val="003652E5"/>
    <w:rsid w:val="003653F8"/>
    <w:rsid w:val="003656E5"/>
    <w:rsid w:val="003657C5"/>
    <w:rsid w:val="00366835"/>
    <w:rsid w:val="00366A62"/>
    <w:rsid w:val="00366D5E"/>
    <w:rsid w:val="003704C7"/>
    <w:rsid w:val="00370C40"/>
    <w:rsid w:val="00370E9B"/>
    <w:rsid w:val="00371D53"/>
    <w:rsid w:val="0037246F"/>
    <w:rsid w:val="00372505"/>
    <w:rsid w:val="00372A70"/>
    <w:rsid w:val="00373A64"/>
    <w:rsid w:val="00373DA8"/>
    <w:rsid w:val="003747B7"/>
    <w:rsid w:val="003747D7"/>
    <w:rsid w:val="00374816"/>
    <w:rsid w:val="00375663"/>
    <w:rsid w:val="00375699"/>
    <w:rsid w:val="00376587"/>
    <w:rsid w:val="00376B58"/>
    <w:rsid w:val="00376E43"/>
    <w:rsid w:val="003777D9"/>
    <w:rsid w:val="003801E6"/>
    <w:rsid w:val="0038037B"/>
    <w:rsid w:val="0038080C"/>
    <w:rsid w:val="00380CA2"/>
    <w:rsid w:val="00381C31"/>
    <w:rsid w:val="003820C9"/>
    <w:rsid w:val="00382297"/>
    <w:rsid w:val="00382898"/>
    <w:rsid w:val="0038332A"/>
    <w:rsid w:val="00383755"/>
    <w:rsid w:val="00383846"/>
    <w:rsid w:val="003838B9"/>
    <w:rsid w:val="00384283"/>
    <w:rsid w:val="003843E9"/>
    <w:rsid w:val="00384A85"/>
    <w:rsid w:val="00384E34"/>
    <w:rsid w:val="00385168"/>
    <w:rsid w:val="003858F3"/>
    <w:rsid w:val="00385B22"/>
    <w:rsid w:val="003861FA"/>
    <w:rsid w:val="00386820"/>
    <w:rsid w:val="00386883"/>
    <w:rsid w:val="00387078"/>
    <w:rsid w:val="003913B4"/>
    <w:rsid w:val="003914AD"/>
    <w:rsid w:val="003920E5"/>
    <w:rsid w:val="00392604"/>
    <w:rsid w:val="00392EDA"/>
    <w:rsid w:val="00393C5F"/>
    <w:rsid w:val="00393EFB"/>
    <w:rsid w:val="00394268"/>
    <w:rsid w:val="003945B1"/>
    <w:rsid w:val="00394F48"/>
    <w:rsid w:val="00395516"/>
    <w:rsid w:val="003964D9"/>
    <w:rsid w:val="00396594"/>
    <w:rsid w:val="00396711"/>
    <w:rsid w:val="00396EB7"/>
    <w:rsid w:val="003971BD"/>
    <w:rsid w:val="0039768D"/>
    <w:rsid w:val="0039776D"/>
    <w:rsid w:val="0039798B"/>
    <w:rsid w:val="003979DB"/>
    <w:rsid w:val="003A131A"/>
    <w:rsid w:val="003A1630"/>
    <w:rsid w:val="003A1826"/>
    <w:rsid w:val="003A1E8F"/>
    <w:rsid w:val="003A2002"/>
    <w:rsid w:val="003A2404"/>
    <w:rsid w:val="003A334A"/>
    <w:rsid w:val="003A33C8"/>
    <w:rsid w:val="003A3B11"/>
    <w:rsid w:val="003A3C27"/>
    <w:rsid w:val="003A4409"/>
    <w:rsid w:val="003A44FF"/>
    <w:rsid w:val="003A60E6"/>
    <w:rsid w:val="003A66A8"/>
    <w:rsid w:val="003A6D89"/>
    <w:rsid w:val="003A7284"/>
    <w:rsid w:val="003A78D0"/>
    <w:rsid w:val="003B0014"/>
    <w:rsid w:val="003B0147"/>
    <w:rsid w:val="003B0A46"/>
    <w:rsid w:val="003B1B6A"/>
    <w:rsid w:val="003B2317"/>
    <w:rsid w:val="003B2B45"/>
    <w:rsid w:val="003B3486"/>
    <w:rsid w:val="003B3528"/>
    <w:rsid w:val="003B3A99"/>
    <w:rsid w:val="003B4C5F"/>
    <w:rsid w:val="003B4CBD"/>
    <w:rsid w:val="003B4D96"/>
    <w:rsid w:val="003B4F04"/>
    <w:rsid w:val="003B7169"/>
    <w:rsid w:val="003B77C0"/>
    <w:rsid w:val="003B7936"/>
    <w:rsid w:val="003C010F"/>
    <w:rsid w:val="003C0214"/>
    <w:rsid w:val="003C14B8"/>
    <w:rsid w:val="003C14D3"/>
    <w:rsid w:val="003C33F6"/>
    <w:rsid w:val="003C3940"/>
    <w:rsid w:val="003C3DD8"/>
    <w:rsid w:val="003C45B1"/>
    <w:rsid w:val="003C4C3F"/>
    <w:rsid w:val="003C543E"/>
    <w:rsid w:val="003C54BF"/>
    <w:rsid w:val="003C59A7"/>
    <w:rsid w:val="003C5A1F"/>
    <w:rsid w:val="003C6DA7"/>
    <w:rsid w:val="003C723E"/>
    <w:rsid w:val="003C7BA0"/>
    <w:rsid w:val="003D0511"/>
    <w:rsid w:val="003D0A05"/>
    <w:rsid w:val="003D0C43"/>
    <w:rsid w:val="003D118F"/>
    <w:rsid w:val="003D19E7"/>
    <w:rsid w:val="003D3AEC"/>
    <w:rsid w:val="003D3E2B"/>
    <w:rsid w:val="003D3EF2"/>
    <w:rsid w:val="003D4672"/>
    <w:rsid w:val="003D4B80"/>
    <w:rsid w:val="003D50ED"/>
    <w:rsid w:val="003D52BD"/>
    <w:rsid w:val="003D535E"/>
    <w:rsid w:val="003D563F"/>
    <w:rsid w:val="003D5936"/>
    <w:rsid w:val="003D5E1A"/>
    <w:rsid w:val="003D636F"/>
    <w:rsid w:val="003D6F02"/>
    <w:rsid w:val="003D7103"/>
    <w:rsid w:val="003D75D6"/>
    <w:rsid w:val="003D7B9B"/>
    <w:rsid w:val="003E11C2"/>
    <w:rsid w:val="003E1B83"/>
    <w:rsid w:val="003E1E57"/>
    <w:rsid w:val="003E203B"/>
    <w:rsid w:val="003E206E"/>
    <w:rsid w:val="003E238F"/>
    <w:rsid w:val="003E2951"/>
    <w:rsid w:val="003E2E69"/>
    <w:rsid w:val="003E3146"/>
    <w:rsid w:val="003E351E"/>
    <w:rsid w:val="003E3F18"/>
    <w:rsid w:val="003E472A"/>
    <w:rsid w:val="003E5864"/>
    <w:rsid w:val="003E6509"/>
    <w:rsid w:val="003E696B"/>
    <w:rsid w:val="003E6E91"/>
    <w:rsid w:val="003E7D64"/>
    <w:rsid w:val="003F02B4"/>
    <w:rsid w:val="003F0ACC"/>
    <w:rsid w:val="003F13B5"/>
    <w:rsid w:val="003F25DB"/>
    <w:rsid w:val="003F3055"/>
    <w:rsid w:val="003F340C"/>
    <w:rsid w:val="003F3806"/>
    <w:rsid w:val="003F39F9"/>
    <w:rsid w:val="003F4823"/>
    <w:rsid w:val="003F4B33"/>
    <w:rsid w:val="003F55EF"/>
    <w:rsid w:val="003F5C2F"/>
    <w:rsid w:val="003F6B5B"/>
    <w:rsid w:val="003F6ED1"/>
    <w:rsid w:val="003F7059"/>
    <w:rsid w:val="0040052F"/>
    <w:rsid w:val="00400668"/>
    <w:rsid w:val="004006F6"/>
    <w:rsid w:val="00400895"/>
    <w:rsid w:val="004008C4"/>
    <w:rsid w:val="00400EDD"/>
    <w:rsid w:val="00401A6C"/>
    <w:rsid w:val="00401EDC"/>
    <w:rsid w:val="004022D9"/>
    <w:rsid w:val="004023A8"/>
    <w:rsid w:val="004025F3"/>
    <w:rsid w:val="00403123"/>
    <w:rsid w:val="004038FE"/>
    <w:rsid w:val="004039DB"/>
    <w:rsid w:val="00403F15"/>
    <w:rsid w:val="00403F68"/>
    <w:rsid w:val="0040408D"/>
    <w:rsid w:val="004050D0"/>
    <w:rsid w:val="0040510C"/>
    <w:rsid w:val="0040543A"/>
    <w:rsid w:val="00407420"/>
    <w:rsid w:val="004100EC"/>
    <w:rsid w:val="00410705"/>
    <w:rsid w:val="00410936"/>
    <w:rsid w:val="00410D4B"/>
    <w:rsid w:val="00411234"/>
    <w:rsid w:val="004116E8"/>
    <w:rsid w:val="00411807"/>
    <w:rsid w:val="004124C5"/>
    <w:rsid w:val="0041274D"/>
    <w:rsid w:val="0041359E"/>
    <w:rsid w:val="00414E9F"/>
    <w:rsid w:val="00415F85"/>
    <w:rsid w:val="004164C4"/>
    <w:rsid w:val="004165F1"/>
    <w:rsid w:val="004166B5"/>
    <w:rsid w:val="00416853"/>
    <w:rsid w:val="00416C24"/>
    <w:rsid w:val="00417B2E"/>
    <w:rsid w:val="0041BCB3"/>
    <w:rsid w:val="00420162"/>
    <w:rsid w:val="004205B3"/>
    <w:rsid w:val="00422103"/>
    <w:rsid w:val="00422165"/>
    <w:rsid w:val="004221F7"/>
    <w:rsid w:val="004227A0"/>
    <w:rsid w:val="00422F5A"/>
    <w:rsid w:val="004233AB"/>
    <w:rsid w:val="00423445"/>
    <w:rsid w:val="00424417"/>
    <w:rsid w:val="0042487F"/>
    <w:rsid w:val="004252E1"/>
    <w:rsid w:val="00425F5A"/>
    <w:rsid w:val="00426323"/>
    <w:rsid w:val="00426958"/>
    <w:rsid w:val="00426CBE"/>
    <w:rsid w:val="00426EC1"/>
    <w:rsid w:val="0042765A"/>
    <w:rsid w:val="004276E4"/>
    <w:rsid w:val="00427B5C"/>
    <w:rsid w:val="00430E0A"/>
    <w:rsid w:val="004318D6"/>
    <w:rsid w:val="0043252C"/>
    <w:rsid w:val="00433D5E"/>
    <w:rsid w:val="004348C6"/>
    <w:rsid w:val="00434F5D"/>
    <w:rsid w:val="00435D1B"/>
    <w:rsid w:val="00435E58"/>
    <w:rsid w:val="00435EF2"/>
    <w:rsid w:val="004362B0"/>
    <w:rsid w:val="00436B22"/>
    <w:rsid w:val="00436DE5"/>
    <w:rsid w:val="00437025"/>
    <w:rsid w:val="00437195"/>
    <w:rsid w:val="004374D1"/>
    <w:rsid w:val="004375E3"/>
    <w:rsid w:val="00440896"/>
    <w:rsid w:val="0044121F"/>
    <w:rsid w:val="00442C92"/>
    <w:rsid w:val="004430BE"/>
    <w:rsid w:val="0044457F"/>
    <w:rsid w:val="00444D5C"/>
    <w:rsid w:val="00445034"/>
    <w:rsid w:val="00445BF0"/>
    <w:rsid w:val="00445C8E"/>
    <w:rsid w:val="0044608D"/>
    <w:rsid w:val="004461BC"/>
    <w:rsid w:val="00446DBD"/>
    <w:rsid w:val="0044704E"/>
    <w:rsid w:val="004505FF"/>
    <w:rsid w:val="00450647"/>
    <w:rsid w:val="00450B9D"/>
    <w:rsid w:val="00450D55"/>
    <w:rsid w:val="004514DD"/>
    <w:rsid w:val="004516F8"/>
    <w:rsid w:val="0045196A"/>
    <w:rsid w:val="00451EFF"/>
    <w:rsid w:val="004526B9"/>
    <w:rsid w:val="00452822"/>
    <w:rsid w:val="00452DD6"/>
    <w:rsid w:val="00453AF0"/>
    <w:rsid w:val="00455320"/>
    <w:rsid w:val="004559DD"/>
    <w:rsid w:val="00455EEB"/>
    <w:rsid w:val="004565E0"/>
    <w:rsid w:val="004565F4"/>
    <w:rsid w:val="00456E88"/>
    <w:rsid w:val="004579DB"/>
    <w:rsid w:val="00460083"/>
    <w:rsid w:val="004606A6"/>
    <w:rsid w:val="00460DE1"/>
    <w:rsid w:val="00461886"/>
    <w:rsid w:val="0046215B"/>
    <w:rsid w:val="0046300F"/>
    <w:rsid w:val="004644E4"/>
    <w:rsid w:val="0046486B"/>
    <w:rsid w:val="00465065"/>
    <w:rsid w:val="004652C5"/>
    <w:rsid w:val="004658D5"/>
    <w:rsid w:val="00465EE8"/>
    <w:rsid w:val="0046627D"/>
    <w:rsid w:val="00466433"/>
    <w:rsid w:val="00466C3D"/>
    <w:rsid w:val="00467978"/>
    <w:rsid w:val="00467FAE"/>
    <w:rsid w:val="004703E4"/>
    <w:rsid w:val="00470694"/>
    <w:rsid w:val="00472764"/>
    <w:rsid w:val="004728BA"/>
    <w:rsid w:val="0047309B"/>
    <w:rsid w:val="00473204"/>
    <w:rsid w:val="0047332A"/>
    <w:rsid w:val="00474866"/>
    <w:rsid w:val="004748A8"/>
    <w:rsid w:val="0047623E"/>
    <w:rsid w:val="0047738D"/>
    <w:rsid w:val="004774D2"/>
    <w:rsid w:val="004776B2"/>
    <w:rsid w:val="0047794B"/>
    <w:rsid w:val="00480036"/>
    <w:rsid w:val="0048035E"/>
    <w:rsid w:val="004811C2"/>
    <w:rsid w:val="004811EC"/>
    <w:rsid w:val="0048175B"/>
    <w:rsid w:val="0048183F"/>
    <w:rsid w:val="00482432"/>
    <w:rsid w:val="0048258F"/>
    <w:rsid w:val="004826CF"/>
    <w:rsid w:val="004829FD"/>
    <w:rsid w:val="00484950"/>
    <w:rsid w:val="00484A37"/>
    <w:rsid w:val="00485915"/>
    <w:rsid w:val="0048591B"/>
    <w:rsid w:val="00485AF8"/>
    <w:rsid w:val="00485C48"/>
    <w:rsid w:val="004860D2"/>
    <w:rsid w:val="00486578"/>
    <w:rsid w:val="0048668D"/>
    <w:rsid w:val="00486CB6"/>
    <w:rsid w:val="00486D56"/>
    <w:rsid w:val="004870CA"/>
    <w:rsid w:val="00487F22"/>
    <w:rsid w:val="00490FDA"/>
    <w:rsid w:val="00491584"/>
    <w:rsid w:val="00491AA3"/>
    <w:rsid w:val="00492139"/>
    <w:rsid w:val="004935AD"/>
    <w:rsid w:val="00494405"/>
    <w:rsid w:val="004944CF"/>
    <w:rsid w:val="0049456A"/>
    <w:rsid w:val="004955F9"/>
    <w:rsid w:val="00495F83"/>
    <w:rsid w:val="00495FE0"/>
    <w:rsid w:val="00496C2C"/>
    <w:rsid w:val="00496D15"/>
    <w:rsid w:val="00496D3E"/>
    <w:rsid w:val="00496DC2"/>
    <w:rsid w:val="00496EE5"/>
    <w:rsid w:val="004A0317"/>
    <w:rsid w:val="004A065C"/>
    <w:rsid w:val="004A0E52"/>
    <w:rsid w:val="004A113D"/>
    <w:rsid w:val="004A16DA"/>
    <w:rsid w:val="004A1F25"/>
    <w:rsid w:val="004A1FD9"/>
    <w:rsid w:val="004A248B"/>
    <w:rsid w:val="004A27AF"/>
    <w:rsid w:val="004A29A7"/>
    <w:rsid w:val="004A2B69"/>
    <w:rsid w:val="004A380D"/>
    <w:rsid w:val="004A42C7"/>
    <w:rsid w:val="004A5D3A"/>
    <w:rsid w:val="004A624C"/>
    <w:rsid w:val="004A625E"/>
    <w:rsid w:val="004A66B3"/>
    <w:rsid w:val="004A6ABD"/>
    <w:rsid w:val="004A6BE6"/>
    <w:rsid w:val="004A746E"/>
    <w:rsid w:val="004A77E2"/>
    <w:rsid w:val="004A7B82"/>
    <w:rsid w:val="004A7E6B"/>
    <w:rsid w:val="004B12BE"/>
    <w:rsid w:val="004B1348"/>
    <w:rsid w:val="004B1938"/>
    <w:rsid w:val="004B1C5F"/>
    <w:rsid w:val="004B1DB5"/>
    <w:rsid w:val="004B1DC1"/>
    <w:rsid w:val="004B1F74"/>
    <w:rsid w:val="004B36F4"/>
    <w:rsid w:val="004B3E9A"/>
    <w:rsid w:val="004B3F91"/>
    <w:rsid w:val="004B40B7"/>
    <w:rsid w:val="004B4B6C"/>
    <w:rsid w:val="004B5175"/>
    <w:rsid w:val="004B687E"/>
    <w:rsid w:val="004B6925"/>
    <w:rsid w:val="004C05FE"/>
    <w:rsid w:val="004C123A"/>
    <w:rsid w:val="004C1CAF"/>
    <w:rsid w:val="004C2288"/>
    <w:rsid w:val="004C26FE"/>
    <w:rsid w:val="004C2A25"/>
    <w:rsid w:val="004C306A"/>
    <w:rsid w:val="004C3672"/>
    <w:rsid w:val="004C36EE"/>
    <w:rsid w:val="004C3F53"/>
    <w:rsid w:val="004C43C2"/>
    <w:rsid w:val="004C4776"/>
    <w:rsid w:val="004C49D2"/>
    <w:rsid w:val="004C5407"/>
    <w:rsid w:val="004C59BD"/>
    <w:rsid w:val="004C601E"/>
    <w:rsid w:val="004C71C7"/>
    <w:rsid w:val="004C7254"/>
    <w:rsid w:val="004C74DC"/>
    <w:rsid w:val="004D1406"/>
    <w:rsid w:val="004D186B"/>
    <w:rsid w:val="004D1CA0"/>
    <w:rsid w:val="004D2E54"/>
    <w:rsid w:val="004D36A7"/>
    <w:rsid w:val="004D4B65"/>
    <w:rsid w:val="004D5863"/>
    <w:rsid w:val="004D5DA5"/>
    <w:rsid w:val="004D5E2A"/>
    <w:rsid w:val="004D604C"/>
    <w:rsid w:val="004D6094"/>
    <w:rsid w:val="004D662B"/>
    <w:rsid w:val="004D6799"/>
    <w:rsid w:val="004D71BD"/>
    <w:rsid w:val="004D780E"/>
    <w:rsid w:val="004E0875"/>
    <w:rsid w:val="004E0D42"/>
    <w:rsid w:val="004E1013"/>
    <w:rsid w:val="004E104E"/>
    <w:rsid w:val="004E13F4"/>
    <w:rsid w:val="004E1DE2"/>
    <w:rsid w:val="004E1F3C"/>
    <w:rsid w:val="004E205B"/>
    <w:rsid w:val="004E257F"/>
    <w:rsid w:val="004E278E"/>
    <w:rsid w:val="004E28C0"/>
    <w:rsid w:val="004E350A"/>
    <w:rsid w:val="004E3919"/>
    <w:rsid w:val="004E3E0C"/>
    <w:rsid w:val="004E4C26"/>
    <w:rsid w:val="004E534B"/>
    <w:rsid w:val="004E64D1"/>
    <w:rsid w:val="004E6909"/>
    <w:rsid w:val="004E6C61"/>
    <w:rsid w:val="004E7845"/>
    <w:rsid w:val="004E7A26"/>
    <w:rsid w:val="004F02C1"/>
    <w:rsid w:val="004F178B"/>
    <w:rsid w:val="004F2405"/>
    <w:rsid w:val="004F2E89"/>
    <w:rsid w:val="004F328D"/>
    <w:rsid w:val="004F3812"/>
    <w:rsid w:val="004F39C2"/>
    <w:rsid w:val="004F4B71"/>
    <w:rsid w:val="004F4CF9"/>
    <w:rsid w:val="004F5DB8"/>
    <w:rsid w:val="004F6EF0"/>
    <w:rsid w:val="00500017"/>
    <w:rsid w:val="0050042B"/>
    <w:rsid w:val="00500A64"/>
    <w:rsid w:val="00500E1F"/>
    <w:rsid w:val="0050102B"/>
    <w:rsid w:val="0050158C"/>
    <w:rsid w:val="00501895"/>
    <w:rsid w:val="0050220C"/>
    <w:rsid w:val="0050301D"/>
    <w:rsid w:val="005030F7"/>
    <w:rsid w:val="00503610"/>
    <w:rsid w:val="00503BD2"/>
    <w:rsid w:val="00503F17"/>
    <w:rsid w:val="0050409A"/>
    <w:rsid w:val="005048BE"/>
    <w:rsid w:val="00505047"/>
    <w:rsid w:val="00505C1B"/>
    <w:rsid w:val="00506629"/>
    <w:rsid w:val="00506B5A"/>
    <w:rsid w:val="005071C8"/>
    <w:rsid w:val="00507A3A"/>
    <w:rsid w:val="0051098E"/>
    <w:rsid w:val="005113EA"/>
    <w:rsid w:val="005124A4"/>
    <w:rsid w:val="00512B5F"/>
    <w:rsid w:val="00513B7F"/>
    <w:rsid w:val="00513DCC"/>
    <w:rsid w:val="0051439C"/>
    <w:rsid w:val="00514718"/>
    <w:rsid w:val="005147CF"/>
    <w:rsid w:val="0051566C"/>
    <w:rsid w:val="00515DE3"/>
    <w:rsid w:val="00516271"/>
    <w:rsid w:val="00516509"/>
    <w:rsid w:val="00516CF9"/>
    <w:rsid w:val="00516F0C"/>
    <w:rsid w:val="00517D2D"/>
    <w:rsid w:val="005200D0"/>
    <w:rsid w:val="00520809"/>
    <w:rsid w:val="005213FD"/>
    <w:rsid w:val="005214BB"/>
    <w:rsid w:val="00522320"/>
    <w:rsid w:val="0052258C"/>
    <w:rsid w:val="0052283F"/>
    <w:rsid w:val="0052320E"/>
    <w:rsid w:val="0052388E"/>
    <w:rsid w:val="00523ABE"/>
    <w:rsid w:val="00524933"/>
    <w:rsid w:val="00524944"/>
    <w:rsid w:val="00524978"/>
    <w:rsid w:val="00524B25"/>
    <w:rsid w:val="005255AA"/>
    <w:rsid w:val="00525852"/>
    <w:rsid w:val="00525B47"/>
    <w:rsid w:val="00525F2A"/>
    <w:rsid w:val="00526148"/>
    <w:rsid w:val="005261FC"/>
    <w:rsid w:val="00526354"/>
    <w:rsid w:val="00526558"/>
    <w:rsid w:val="00526A7A"/>
    <w:rsid w:val="0052717B"/>
    <w:rsid w:val="00530059"/>
    <w:rsid w:val="0053057A"/>
    <w:rsid w:val="005308CE"/>
    <w:rsid w:val="005308F7"/>
    <w:rsid w:val="00530CBF"/>
    <w:rsid w:val="00531001"/>
    <w:rsid w:val="00531113"/>
    <w:rsid w:val="0053121A"/>
    <w:rsid w:val="00531589"/>
    <w:rsid w:val="00531A70"/>
    <w:rsid w:val="00531AB4"/>
    <w:rsid w:val="00532D4A"/>
    <w:rsid w:val="00532F0A"/>
    <w:rsid w:val="005333EB"/>
    <w:rsid w:val="00533446"/>
    <w:rsid w:val="00534950"/>
    <w:rsid w:val="00535434"/>
    <w:rsid w:val="005362DA"/>
    <w:rsid w:val="005365FD"/>
    <w:rsid w:val="00536A0B"/>
    <w:rsid w:val="00537050"/>
    <w:rsid w:val="005376BD"/>
    <w:rsid w:val="00537767"/>
    <w:rsid w:val="00541176"/>
    <w:rsid w:val="005426B6"/>
    <w:rsid w:val="00542DF7"/>
    <w:rsid w:val="00543787"/>
    <w:rsid w:val="0054434D"/>
    <w:rsid w:val="00544980"/>
    <w:rsid w:val="005466D9"/>
    <w:rsid w:val="005469AB"/>
    <w:rsid w:val="00546A69"/>
    <w:rsid w:val="00547C31"/>
    <w:rsid w:val="0055003D"/>
    <w:rsid w:val="00550432"/>
    <w:rsid w:val="005509FB"/>
    <w:rsid w:val="005514AE"/>
    <w:rsid w:val="00551936"/>
    <w:rsid w:val="00551D93"/>
    <w:rsid w:val="00552A14"/>
    <w:rsid w:val="00552E69"/>
    <w:rsid w:val="005537B8"/>
    <w:rsid w:val="005539F1"/>
    <w:rsid w:val="00553A0A"/>
    <w:rsid w:val="00553BE8"/>
    <w:rsid w:val="00553C21"/>
    <w:rsid w:val="0055443A"/>
    <w:rsid w:val="005544D8"/>
    <w:rsid w:val="00554A9C"/>
    <w:rsid w:val="00554E4D"/>
    <w:rsid w:val="00556087"/>
    <w:rsid w:val="00556B70"/>
    <w:rsid w:val="0055703C"/>
    <w:rsid w:val="00557C06"/>
    <w:rsid w:val="00557DDB"/>
    <w:rsid w:val="0056004E"/>
    <w:rsid w:val="00560E1D"/>
    <w:rsid w:val="0056136E"/>
    <w:rsid w:val="00561A0A"/>
    <w:rsid w:val="00562102"/>
    <w:rsid w:val="0056215C"/>
    <w:rsid w:val="00562450"/>
    <w:rsid w:val="005627E4"/>
    <w:rsid w:val="005630B0"/>
    <w:rsid w:val="00563931"/>
    <w:rsid w:val="00564284"/>
    <w:rsid w:val="005649F5"/>
    <w:rsid w:val="00565252"/>
    <w:rsid w:val="005657A5"/>
    <w:rsid w:val="00566613"/>
    <w:rsid w:val="005667B4"/>
    <w:rsid w:val="00566824"/>
    <w:rsid w:val="0056703B"/>
    <w:rsid w:val="005670AC"/>
    <w:rsid w:val="00567845"/>
    <w:rsid w:val="00567C74"/>
    <w:rsid w:val="00570C87"/>
    <w:rsid w:val="00570E61"/>
    <w:rsid w:val="005715BE"/>
    <w:rsid w:val="00571939"/>
    <w:rsid w:val="00571BEF"/>
    <w:rsid w:val="0057286F"/>
    <w:rsid w:val="005729CD"/>
    <w:rsid w:val="00572A0A"/>
    <w:rsid w:val="00572B2B"/>
    <w:rsid w:val="00573CEF"/>
    <w:rsid w:val="00573F82"/>
    <w:rsid w:val="005746D8"/>
    <w:rsid w:val="00574B35"/>
    <w:rsid w:val="00575204"/>
    <w:rsid w:val="00575E91"/>
    <w:rsid w:val="005764CA"/>
    <w:rsid w:val="005765AE"/>
    <w:rsid w:val="005765EB"/>
    <w:rsid w:val="00576C6A"/>
    <w:rsid w:val="00576F7B"/>
    <w:rsid w:val="00577705"/>
    <w:rsid w:val="00577BEB"/>
    <w:rsid w:val="005819C3"/>
    <w:rsid w:val="00582067"/>
    <w:rsid w:val="00582765"/>
    <w:rsid w:val="005827C9"/>
    <w:rsid w:val="00582F95"/>
    <w:rsid w:val="0058370C"/>
    <w:rsid w:val="005846A5"/>
    <w:rsid w:val="00584D0C"/>
    <w:rsid w:val="00585461"/>
    <w:rsid w:val="0058564A"/>
    <w:rsid w:val="00586D14"/>
    <w:rsid w:val="00590666"/>
    <w:rsid w:val="00590744"/>
    <w:rsid w:val="005914F0"/>
    <w:rsid w:val="00591EEF"/>
    <w:rsid w:val="00592594"/>
    <w:rsid w:val="0059282A"/>
    <w:rsid w:val="00592DD3"/>
    <w:rsid w:val="00593346"/>
    <w:rsid w:val="005933E2"/>
    <w:rsid w:val="0059372C"/>
    <w:rsid w:val="00595947"/>
    <w:rsid w:val="00596383"/>
    <w:rsid w:val="005965A9"/>
    <w:rsid w:val="00596D72"/>
    <w:rsid w:val="00596E51"/>
    <w:rsid w:val="00597271"/>
    <w:rsid w:val="00597BAA"/>
    <w:rsid w:val="00597E20"/>
    <w:rsid w:val="005A0373"/>
    <w:rsid w:val="005A057F"/>
    <w:rsid w:val="005A05CA"/>
    <w:rsid w:val="005A05D9"/>
    <w:rsid w:val="005A0877"/>
    <w:rsid w:val="005A0FC0"/>
    <w:rsid w:val="005A26BD"/>
    <w:rsid w:val="005A333C"/>
    <w:rsid w:val="005A342E"/>
    <w:rsid w:val="005A3AB6"/>
    <w:rsid w:val="005A3DDC"/>
    <w:rsid w:val="005A3E39"/>
    <w:rsid w:val="005A43B5"/>
    <w:rsid w:val="005A4BA6"/>
    <w:rsid w:val="005A5139"/>
    <w:rsid w:val="005A5511"/>
    <w:rsid w:val="005A5CA7"/>
    <w:rsid w:val="005A686F"/>
    <w:rsid w:val="005A6D23"/>
    <w:rsid w:val="005A7000"/>
    <w:rsid w:val="005A74D0"/>
    <w:rsid w:val="005A7DEB"/>
    <w:rsid w:val="005A7EF1"/>
    <w:rsid w:val="005B0424"/>
    <w:rsid w:val="005B068E"/>
    <w:rsid w:val="005B0831"/>
    <w:rsid w:val="005B0952"/>
    <w:rsid w:val="005B09C5"/>
    <w:rsid w:val="005B0D07"/>
    <w:rsid w:val="005B108E"/>
    <w:rsid w:val="005B12F2"/>
    <w:rsid w:val="005B1539"/>
    <w:rsid w:val="005B28ED"/>
    <w:rsid w:val="005B3592"/>
    <w:rsid w:val="005B4B65"/>
    <w:rsid w:val="005B4B85"/>
    <w:rsid w:val="005B5BBC"/>
    <w:rsid w:val="005B5FA8"/>
    <w:rsid w:val="005B7547"/>
    <w:rsid w:val="005B7A80"/>
    <w:rsid w:val="005C04AF"/>
    <w:rsid w:val="005C087F"/>
    <w:rsid w:val="005C08A8"/>
    <w:rsid w:val="005C0E27"/>
    <w:rsid w:val="005C1093"/>
    <w:rsid w:val="005C128A"/>
    <w:rsid w:val="005C149D"/>
    <w:rsid w:val="005C191E"/>
    <w:rsid w:val="005C313A"/>
    <w:rsid w:val="005C3635"/>
    <w:rsid w:val="005C3EDE"/>
    <w:rsid w:val="005C3F95"/>
    <w:rsid w:val="005C4128"/>
    <w:rsid w:val="005C484B"/>
    <w:rsid w:val="005C4A09"/>
    <w:rsid w:val="005C4A2F"/>
    <w:rsid w:val="005C4C89"/>
    <w:rsid w:val="005C4D1D"/>
    <w:rsid w:val="005C5A65"/>
    <w:rsid w:val="005C5BCC"/>
    <w:rsid w:val="005C5F15"/>
    <w:rsid w:val="005C62D9"/>
    <w:rsid w:val="005C66E3"/>
    <w:rsid w:val="005C6893"/>
    <w:rsid w:val="005C6BFB"/>
    <w:rsid w:val="005C7277"/>
    <w:rsid w:val="005C785C"/>
    <w:rsid w:val="005C79BE"/>
    <w:rsid w:val="005D05BC"/>
    <w:rsid w:val="005D07D9"/>
    <w:rsid w:val="005D0D39"/>
    <w:rsid w:val="005D0F44"/>
    <w:rsid w:val="005D1751"/>
    <w:rsid w:val="005D3542"/>
    <w:rsid w:val="005D3D61"/>
    <w:rsid w:val="005D421B"/>
    <w:rsid w:val="005D443A"/>
    <w:rsid w:val="005D51BF"/>
    <w:rsid w:val="005D556E"/>
    <w:rsid w:val="005D5C88"/>
    <w:rsid w:val="005D6039"/>
    <w:rsid w:val="005D6669"/>
    <w:rsid w:val="005D6E1D"/>
    <w:rsid w:val="005D6F60"/>
    <w:rsid w:val="005D717E"/>
    <w:rsid w:val="005D7594"/>
    <w:rsid w:val="005D7E59"/>
    <w:rsid w:val="005D7F5B"/>
    <w:rsid w:val="005E006F"/>
    <w:rsid w:val="005E0579"/>
    <w:rsid w:val="005E0C96"/>
    <w:rsid w:val="005E2799"/>
    <w:rsid w:val="005E2EAF"/>
    <w:rsid w:val="005E3205"/>
    <w:rsid w:val="005E3C3E"/>
    <w:rsid w:val="005E416A"/>
    <w:rsid w:val="005E4198"/>
    <w:rsid w:val="005E424C"/>
    <w:rsid w:val="005E493C"/>
    <w:rsid w:val="005E494B"/>
    <w:rsid w:val="005E49F3"/>
    <w:rsid w:val="005E5903"/>
    <w:rsid w:val="005E5FC2"/>
    <w:rsid w:val="005E6487"/>
    <w:rsid w:val="005E6941"/>
    <w:rsid w:val="005E6A47"/>
    <w:rsid w:val="005E6DF2"/>
    <w:rsid w:val="005E6E7A"/>
    <w:rsid w:val="005E6FF6"/>
    <w:rsid w:val="005E74C3"/>
    <w:rsid w:val="005E7616"/>
    <w:rsid w:val="005E7A93"/>
    <w:rsid w:val="005F0557"/>
    <w:rsid w:val="005F0725"/>
    <w:rsid w:val="005F0727"/>
    <w:rsid w:val="005F0C0B"/>
    <w:rsid w:val="005F0F18"/>
    <w:rsid w:val="005F0FF6"/>
    <w:rsid w:val="005F14CD"/>
    <w:rsid w:val="005F226E"/>
    <w:rsid w:val="005F2B93"/>
    <w:rsid w:val="005F2FBC"/>
    <w:rsid w:val="005F322E"/>
    <w:rsid w:val="005F3509"/>
    <w:rsid w:val="005F457D"/>
    <w:rsid w:val="005F4D09"/>
    <w:rsid w:val="005F4F9B"/>
    <w:rsid w:val="005F5513"/>
    <w:rsid w:val="005F57BB"/>
    <w:rsid w:val="005F6095"/>
    <w:rsid w:val="005F615F"/>
    <w:rsid w:val="005F653D"/>
    <w:rsid w:val="005F686F"/>
    <w:rsid w:val="005F6F6B"/>
    <w:rsid w:val="005F7E99"/>
    <w:rsid w:val="005F7FDE"/>
    <w:rsid w:val="005F7FF5"/>
    <w:rsid w:val="006003CE"/>
    <w:rsid w:val="00600647"/>
    <w:rsid w:val="00600FEA"/>
    <w:rsid w:val="006017DF"/>
    <w:rsid w:val="00602669"/>
    <w:rsid w:val="00602A1E"/>
    <w:rsid w:val="00603C45"/>
    <w:rsid w:val="00603DE2"/>
    <w:rsid w:val="00603F9C"/>
    <w:rsid w:val="00604360"/>
    <w:rsid w:val="0060488D"/>
    <w:rsid w:val="00604BED"/>
    <w:rsid w:val="00604CD4"/>
    <w:rsid w:val="00605FC2"/>
    <w:rsid w:val="00606562"/>
    <w:rsid w:val="00606CA5"/>
    <w:rsid w:val="0060729F"/>
    <w:rsid w:val="006075F8"/>
    <w:rsid w:val="0060789D"/>
    <w:rsid w:val="006078D5"/>
    <w:rsid w:val="00607BEB"/>
    <w:rsid w:val="006100B3"/>
    <w:rsid w:val="006109BD"/>
    <w:rsid w:val="00610B3D"/>
    <w:rsid w:val="00611282"/>
    <w:rsid w:val="00611C58"/>
    <w:rsid w:val="00612424"/>
    <w:rsid w:val="00612880"/>
    <w:rsid w:val="00613D1E"/>
    <w:rsid w:val="00613EA4"/>
    <w:rsid w:val="006149DB"/>
    <w:rsid w:val="0061614F"/>
    <w:rsid w:val="0061706E"/>
    <w:rsid w:val="006176F1"/>
    <w:rsid w:val="00617B45"/>
    <w:rsid w:val="00617FBE"/>
    <w:rsid w:val="0062044F"/>
    <w:rsid w:val="00620912"/>
    <w:rsid w:val="00621CC1"/>
    <w:rsid w:val="006233B2"/>
    <w:rsid w:val="00624396"/>
    <w:rsid w:val="00624ACE"/>
    <w:rsid w:val="0062523C"/>
    <w:rsid w:val="006255BA"/>
    <w:rsid w:val="00625642"/>
    <w:rsid w:val="006258B2"/>
    <w:rsid w:val="006263DE"/>
    <w:rsid w:val="00626B59"/>
    <w:rsid w:val="00627575"/>
    <w:rsid w:val="006278E8"/>
    <w:rsid w:val="00627A8A"/>
    <w:rsid w:val="00627EFA"/>
    <w:rsid w:val="00627F0F"/>
    <w:rsid w:val="00630447"/>
    <w:rsid w:val="00630B65"/>
    <w:rsid w:val="00631426"/>
    <w:rsid w:val="00632470"/>
    <w:rsid w:val="00632A50"/>
    <w:rsid w:val="00632B26"/>
    <w:rsid w:val="00634311"/>
    <w:rsid w:val="00634D80"/>
    <w:rsid w:val="0063508D"/>
    <w:rsid w:val="0063538D"/>
    <w:rsid w:val="006358AA"/>
    <w:rsid w:val="00635E15"/>
    <w:rsid w:val="0063654D"/>
    <w:rsid w:val="0063771E"/>
    <w:rsid w:val="00640982"/>
    <w:rsid w:val="00640D47"/>
    <w:rsid w:val="00641A8C"/>
    <w:rsid w:val="00642253"/>
    <w:rsid w:val="00644207"/>
    <w:rsid w:val="006457B6"/>
    <w:rsid w:val="006458F1"/>
    <w:rsid w:val="00645F27"/>
    <w:rsid w:val="006460C5"/>
    <w:rsid w:val="0064652D"/>
    <w:rsid w:val="006467A6"/>
    <w:rsid w:val="0064694F"/>
    <w:rsid w:val="00646C54"/>
    <w:rsid w:val="006471B5"/>
    <w:rsid w:val="006475D9"/>
    <w:rsid w:val="006475F5"/>
    <w:rsid w:val="0064760C"/>
    <w:rsid w:val="0065171D"/>
    <w:rsid w:val="00651DBB"/>
    <w:rsid w:val="006520C5"/>
    <w:rsid w:val="00652100"/>
    <w:rsid w:val="00652807"/>
    <w:rsid w:val="00652BE1"/>
    <w:rsid w:val="00653D67"/>
    <w:rsid w:val="006547A9"/>
    <w:rsid w:val="00655791"/>
    <w:rsid w:val="00655E8B"/>
    <w:rsid w:val="00656119"/>
    <w:rsid w:val="00656188"/>
    <w:rsid w:val="00656B18"/>
    <w:rsid w:val="00656B7A"/>
    <w:rsid w:val="00657553"/>
    <w:rsid w:val="00657A29"/>
    <w:rsid w:val="00657D4B"/>
    <w:rsid w:val="006600F3"/>
    <w:rsid w:val="006615FB"/>
    <w:rsid w:val="006616D5"/>
    <w:rsid w:val="006621B6"/>
    <w:rsid w:val="00662758"/>
    <w:rsid w:val="00663F44"/>
    <w:rsid w:val="00664D9F"/>
    <w:rsid w:val="00665B0D"/>
    <w:rsid w:val="0066683E"/>
    <w:rsid w:val="00666CE1"/>
    <w:rsid w:val="00667947"/>
    <w:rsid w:val="00667CC7"/>
    <w:rsid w:val="0066B1D1"/>
    <w:rsid w:val="00670A06"/>
    <w:rsid w:val="00671075"/>
    <w:rsid w:val="00671972"/>
    <w:rsid w:val="00672555"/>
    <w:rsid w:val="00672576"/>
    <w:rsid w:val="0067306D"/>
    <w:rsid w:val="00673268"/>
    <w:rsid w:val="0067456F"/>
    <w:rsid w:val="0067490A"/>
    <w:rsid w:val="0067712C"/>
    <w:rsid w:val="0067762D"/>
    <w:rsid w:val="00680030"/>
    <w:rsid w:val="00680202"/>
    <w:rsid w:val="00680CEB"/>
    <w:rsid w:val="0068239A"/>
    <w:rsid w:val="00683561"/>
    <w:rsid w:val="00683C11"/>
    <w:rsid w:val="00683F63"/>
    <w:rsid w:val="006841EF"/>
    <w:rsid w:val="00684661"/>
    <w:rsid w:val="00684B3B"/>
    <w:rsid w:val="00685A67"/>
    <w:rsid w:val="00685DA9"/>
    <w:rsid w:val="00686475"/>
    <w:rsid w:val="006867C6"/>
    <w:rsid w:val="00686F47"/>
    <w:rsid w:val="00687899"/>
    <w:rsid w:val="0068947A"/>
    <w:rsid w:val="006900C7"/>
    <w:rsid w:val="006900E6"/>
    <w:rsid w:val="00690272"/>
    <w:rsid w:val="00690787"/>
    <w:rsid w:val="00690A23"/>
    <w:rsid w:val="00690FFB"/>
    <w:rsid w:val="006911EE"/>
    <w:rsid w:val="0069125F"/>
    <w:rsid w:val="0069180F"/>
    <w:rsid w:val="00691B87"/>
    <w:rsid w:val="00691FC3"/>
    <w:rsid w:val="00692192"/>
    <w:rsid w:val="006921F3"/>
    <w:rsid w:val="006924D1"/>
    <w:rsid w:val="00694364"/>
    <w:rsid w:val="00694A2F"/>
    <w:rsid w:val="00694C93"/>
    <w:rsid w:val="0069515D"/>
    <w:rsid w:val="006952E3"/>
    <w:rsid w:val="00695598"/>
    <w:rsid w:val="00695771"/>
    <w:rsid w:val="00695A5C"/>
    <w:rsid w:val="00695AB6"/>
    <w:rsid w:val="00697C80"/>
    <w:rsid w:val="006A0135"/>
    <w:rsid w:val="006A1535"/>
    <w:rsid w:val="006A15B0"/>
    <w:rsid w:val="006A15DD"/>
    <w:rsid w:val="006A17DA"/>
    <w:rsid w:val="006A249C"/>
    <w:rsid w:val="006A2BDE"/>
    <w:rsid w:val="006A2C60"/>
    <w:rsid w:val="006A2E57"/>
    <w:rsid w:val="006A3E8F"/>
    <w:rsid w:val="006A4265"/>
    <w:rsid w:val="006A4F19"/>
    <w:rsid w:val="006A4FA8"/>
    <w:rsid w:val="006A54A2"/>
    <w:rsid w:val="006A5830"/>
    <w:rsid w:val="006A5BE3"/>
    <w:rsid w:val="006A628A"/>
    <w:rsid w:val="006A6949"/>
    <w:rsid w:val="006A7520"/>
    <w:rsid w:val="006A791F"/>
    <w:rsid w:val="006A79BA"/>
    <w:rsid w:val="006A7F19"/>
    <w:rsid w:val="006B01D4"/>
    <w:rsid w:val="006B0880"/>
    <w:rsid w:val="006B0C8A"/>
    <w:rsid w:val="006B16EE"/>
    <w:rsid w:val="006B20D4"/>
    <w:rsid w:val="006B2187"/>
    <w:rsid w:val="006B2390"/>
    <w:rsid w:val="006B29EA"/>
    <w:rsid w:val="006B2FD6"/>
    <w:rsid w:val="006B304A"/>
    <w:rsid w:val="006B36B2"/>
    <w:rsid w:val="006B3C7A"/>
    <w:rsid w:val="006B4124"/>
    <w:rsid w:val="006B4D4E"/>
    <w:rsid w:val="006B4F7B"/>
    <w:rsid w:val="006B5015"/>
    <w:rsid w:val="006B5886"/>
    <w:rsid w:val="006B5FA4"/>
    <w:rsid w:val="006B6853"/>
    <w:rsid w:val="006B7490"/>
    <w:rsid w:val="006B7884"/>
    <w:rsid w:val="006B7F31"/>
    <w:rsid w:val="006C04DE"/>
    <w:rsid w:val="006C050A"/>
    <w:rsid w:val="006C0C97"/>
    <w:rsid w:val="006C12CD"/>
    <w:rsid w:val="006C1372"/>
    <w:rsid w:val="006C1807"/>
    <w:rsid w:val="006C19A2"/>
    <w:rsid w:val="006C1B41"/>
    <w:rsid w:val="006C1F17"/>
    <w:rsid w:val="006C2594"/>
    <w:rsid w:val="006C2E94"/>
    <w:rsid w:val="006C3280"/>
    <w:rsid w:val="006C456E"/>
    <w:rsid w:val="006C4573"/>
    <w:rsid w:val="006C48C8"/>
    <w:rsid w:val="006C4A0C"/>
    <w:rsid w:val="006C4E53"/>
    <w:rsid w:val="006C53BF"/>
    <w:rsid w:val="006C5B50"/>
    <w:rsid w:val="006C60C5"/>
    <w:rsid w:val="006C669B"/>
    <w:rsid w:val="006C7E23"/>
    <w:rsid w:val="006C7FE0"/>
    <w:rsid w:val="006D0167"/>
    <w:rsid w:val="006D13A2"/>
    <w:rsid w:val="006D1884"/>
    <w:rsid w:val="006D1A94"/>
    <w:rsid w:val="006D1D4C"/>
    <w:rsid w:val="006D20A0"/>
    <w:rsid w:val="006D2BCC"/>
    <w:rsid w:val="006D352D"/>
    <w:rsid w:val="006D38AD"/>
    <w:rsid w:val="006D442A"/>
    <w:rsid w:val="006D4779"/>
    <w:rsid w:val="006D4AF1"/>
    <w:rsid w:val="006D4CD8"/>
    <w:rsid w:val="006D5463"/>
    <w:rsid w:val="006D54BF"/>
    <w:rsid w:val="006D5EAD"/>
    <w:rsid w:val="006D6466"/>
    <w:rsid w:val="006D6652"/>
    <w:rsid w:val="006D6730"/>
    <w:rsid w:val="006D68F8"/>
    <w:rsid w:val="006D6A42"/>
    <w:rsid w:val="006D78A1"/>
    <w:rsid w:val="006D7FC9"/>
    <w:rsid w:val="006E0370"/>
    <w:rsid w:val="006E0F9E"/>
    <w:rsid w:val="006E1354"/>
    <w:rsid w:val="006E14F5"/>
    <w:rsid w:val="006E1849"/>
    <w:rsid w:val="006E2445"/>
    <w:rsid w:val="006E2581"/>
    <w:rsid w:val="006E258F"/>
    <w:rsid w:val="006E2617"/>
    <w:rsid w:val="006E2993"/>
    <w:rsid w:val="006E2CB3"/>
    <w:rsid w:val="006E2DB3"/>
    <w:rsid w:val="006E2DF6"/>
    <w:rsid w:val="006E2E31"/>
    <w:rsid w:val="006E4204"/>
    <w:rsid w:val="006E42D1"/>
    <w:rsid w:val="006E4442"/>
    <w:rsid w:val="006E4A6B"/>
    <w:rsid w:val="006E58EF"/>
    <w:rsid w:val="006E5FF3"/>
    <w:rsid w:val="006E60DD"/>
    <w:rsid w:val="006E682F"/>
    <w:rsid w:val="006E690D"/>
    <w:rsid w:val="006E707E"/>
    <w:rsid w:val="006E7F57"/>
    <w:rsid w:val="006F0647"/>
    <w:rsid w:val="006F1E75"/>
    <w:rsid w:val="006F215B"/>
    <w:rsid w:val="006F258E"/>
    <w:rsid w:val="006F2F10"/>
    <w:rsid w:val="006F3022"/>
    <w:rsid w:val="006F3424"/>
    <w:rsid w:val="006F37CC"/>
    <w:rsid w:val="006F3D4C"/>
    <w:rsid w:val="006F49F5"/>
    <w:rsid w:val="006F4EE7"/>
    <w:rsid w:val="006F4F01"/>
    <w:rsid w:val="006F53DA"/>
    <w:rsid w:val="006F6D31"/>
    <w:rsid w:val="006F71B1"/>
    <w:rsid w:val="006F78C5"/>
    <w:rsid w:val="006F7A60"/>
    <w:rsid w:val="006F7D37"/>
    <w:rsid w:val="006F7FD8"/>
    <w:rsid w:val="0070014D"/>
    <w:rsid w:val="00700E84"/>
    <w:rsid w:val="007017B2"/>
    <w:rsid w:val="00701A48"/>
    <w:rsid w:val="00701AB4"/>
    <w:rsid w:val="00702019"/>
    <w:rsid w:val="00702740"/>
    <w:rsid w:val="007027FC"/>
    <w:rsid w:val="00702E84"/>
    <w:rsid w:val="0070362B"/>
    <w:rsid w:val="007041FC"/>
    <w:rsid w:val="00704C3B"/>
    <w:rsid w:val="00704FAC"/>
    <w:rsid w:val="00705470"/>
    <w:rsid w:val="00705AE4"/>
    <w:rsid w:val="00706B93"/>
    <w:rsid w:val="00707042"/>
    <w:rsid w:val="007071BF"/>
    <w:rsid w:val="00710016"/>
    <w:rsid w:val="00710A5D"/>
    <w:rsid w:val="00711245"/>
    <w:rsid w:val="00711615"/>
    <w:rsid w:val="00711B2A"/>
    <w:rsid w:val="00711DEC"/>
    <w:rsid w:val="0071309A"/>
    <w:rsid w:val="007132A7"/>
    <w:rsid w:val="0071385E"/>
    <w:rsid w:val="0071399A"/>
    <w:rsid w:val="00713C89"/>
    <w:rsid w:val="00713DC0"/>
    <w:rsid w:val="007144B7"/>
    <w:rsid w:val="007145CB"/>
    <w:rsid w:val="00714607"/>
    <w:rsid w:val="0071479E"/>
    <w:rsid w:val="00714936"/>
    <w:rsid w:val="00714F64"/>
    <w:rsid w:val="0071584D"/>
    <w:rsid w:val="00715874"/>
    <w:rsid w:val="00716117"/>
    <w:rsid w:val="00716DBC"/>
    <w:rsid w:val="0071778F"/>
    <w:rsid w:val="00717C19"/>
    <w:rsid w:val="00717F53"/>
    <w:rsid w:val="00720122"/>
    <w:rsid w:val="00720C8A"/>
    <w:rsid w:val="00720F75"/>
    <w:rsid w:val="0072184A"/>
    <w:rsid w:val="00721856"/>
    <w:rsid w:val="00722FA3"/>
    <w:rsid w:val="007238FB"/>
    <w:rsid w:val="007247D2"/>
    <w:rsid w:val="0072486A"/>
    <w:rsid w:val="007274D5"/>
    <w:rsid w:val="00730207"/>
    <w:rsid w:val="00730A03"/>
    <w:rsid w:val="00730E11"/>
    <w:rsid w:val="007322B3"/>
    <w:rsid w:val="0073302D"/>
    <w:rsid w:val="007335FD"/>
    <w:rsid w:val="00733937"/>
    <w:rsid w:val="00733DEE"/>
    <w:rsid w:val="007340CF"/>
    <w:rsid w:val="00734E17"/>
    <w:rsid w:val="00734E71"/>
    <w:rsid w:val="00735058"/>
    <w:rsid w:val="007360B2"/>
    <w:rsid w:val="007363E8"/>
    <w:rsid w:val="0073734B"/>
    <w:rsid w:val="007375C6"/>
    <w:rsid w:val="00737B53"/>
    <w:rsid w:val="007404C9"/>
    <w:rsid w:val="00740D7F"/>
    <w:rsid w:val="0074108E"/>
    <w:rsid w:val="00741678"/>
    <w:rsid w:val="00741D2C"/>
    <w:rsid w:val="00741E7C"/>
    <w:rsid w:val="0074223C"/>
    <w:rsid w:val="00742781"/>
    <w:rsid w:val="00743A55"/>
    <w:rsid w:val="00743EFB"/>
    <w:rsid w:val="007442F6"/>
    <w:rsid w:val="007445CF"/>
    <w:rsid w:val="00745489"/>
    <w:rsid w:val="00745A5B"/>
    <w:rsid w:val="0074665A"/>
    <w:rsid w:val="00746998"/>
    <w:rsid w:val="00746C53"/>
    <w:rsid w:val="00746FCA"/>
    <w:rsid w:val="007473FA"/>
    <w:rsid w:val="00747705"/>
    <w:rsid w:val="0075001D"/>
    <w:rsid w:val="00750E5C"/>
    <w:rsid w:val="007511A2"/>
    <w:rsid w:val="0075156A"/>
    <w:rsid w:val="0075179F"/>
    <w:rsid w:val="00751A21"/>
    <w:rsid w:val="00751F00"/>
    <w:rsid w:val="007523BB"/>
    <w:rsid w:val="00752543"/>
    <w:rsid w:val="007533A3"/>
    <w:rsid w:val="007535FB"/>
    <w:rsid w:val="00753738"/>
    <w:rsid w:val="00753E24"/>
    <w:rsid w:val="00754A2A"/>
    <w:rsid w:val="00754F01"/>
    <w:rsid w:val="0075577F"/>
    <w:rsid w:val="00755FFD"/>
    <w:rsid w:val="007562BF"/>
    <w:rsid w:val="007563DC"/>
    <w:rsid w:val="0075659F"/>
    <w:rsid w:val="00756CAB"/>
    <w:rsid w:val="00756E51"/>
    <w:rsid w:val="007577AB"/>
    <w:rsid w:val="00757BC9"/>
    <w:rsid w:val="007624A2"/>
    <w:rsid w:val="0076280C"/>
    <w:rsid w:val="00762ADB"/>
    <w:rsid w:val="00762EC4"/>
    <w:rsid w:val="007632CE"/>
    <w:rsid w:val="00763303"/>
    <w:rsid w:val="00763F1D"/>
    <w:rsid w:val="00763FA6"/>
    <w:rsid w:val="00764A43"/>
    <w:rsid w:val="00764B6D"/>
    <w:rsid w:val="00765391"/>
    <w:rsid w:val="00765BB7"/>
    <w:rsid w:val="00765BFA"/>
    <w:rsid w:val="00765CFF"/>
    <w:rsid w:val="007661C3"/>
    <w:rsid w:val="00766B44"/>
    <w:rsid w:val="00767331"/>
    <w:rsid w:val="0076782E"/>
    <w:rsid w:val="00767BD4"/>
    <w:rsid w:val="007706FD"/>
    <w:rsid w:val="00770D51"/>
    <w:rsid w:val="00770EF7"/>
    <w:rsid w:val="0077149D"/>
    <w:rsid w:val="00771F17"/>
    <w:rsid w:val="0077206B"/>
    <w:rsid w:val="0077239A"/>
    <w:rsid w:val="0077284D"/>
    <w:rsid w:val="0077388B"/>
    <w:rsid w:val="00773F11"/>
    <w:rsid w:val="00773F3D"/>
    <w:rsid w:val="00773FE9"/>
    <w:rsid w:val="00774076"/>
    <w:rsid w:val="007740BC"/>
    <w:rsid w:val="00774594"/>
    <w:rsid w:val="00774B09"/>
    <w:rsid w:val="00776036"/>
    <w:rsid w:val="00776C29"/>
    <w:rsid w:val="00776C4C"/>
    <w:rsid w:val="007771A5"/>
    <w:rsid w:val="007773DB"/>
    <w:rsid w:val="00777891"/>
    <w:rsid w:val="0078036B"/>
    <w:rsid w:val="007803D0"/>
    <w:rsid w:val="00780460"/>
    <w:rsid w:val="007807BF"/>
    <w:rsid w:val="007818B7"/>
    <w:rsid w:val="00781A5B"/>
    <w:rsid w:val="00781D67"/>
    <w:rsid w:val="00781F4F"/>
    <w:rsid w:val="00782011"/>
    <w:rsid w:val="0078296A"/>
    <w:rsid w:val="00784A21"/>
    <w:rsid w:val="007853AB"/>
    <w:rsid w:val="0078569D"/>
    <w:rsid w:val="00785A94"/>
    <w:rsid w:val="00786935"/>
    <w:rsid w:val="00786F6B"/>
    <w:rsid w:val="00791A77"/>
    <w:rsid w:val="00791E01"/>
    <w:rsid w:val="00791E25"/>
    <w:rsid w:val="007922D4"/>
    <w:rsid w:val="00793099"/>
    <w:rsid w:val="00793376"/>
    <w:rsid w:val="007936DC"/>
    <w:rsid w:val="00793FAD"/>
    <w:rsid w:val="007948C0"/>
    <w:rsid w:val="00794CDD"/>
    <w:rsid w:val="00794F7D"/>
    <w:rsid w:val="0079660E"/>
    <w:rsid w:val="00796A47"/>
    <w:rsid w:val="00796BA1"/>
    <w:rsid w:val="007978BC"/>
    <w:rsid w:val="00797CBC"/>
    <w:rsid w:val="007A08EC"/>
    <w:rsid w:val="007A14F3"/>
    <w:rsid w:val="007A2635"/>
    <w:rsid w:val="007A2FD3"/>
    <w:rsid w:val="007A33A5"/>
    <w:rsid w:val="007A3660"/>
    <w:rsid w:val="007A3BB1"/>
    <w:rsid w:val="007A4DC8"/>
    <w:rsid w:val="007A51A7"/>
    <w:rsid w:val="007A51B3"/>
    <w:rsid w:val="007A5523"/>
    <w:rsid w:val="007A55BB"/>
    <w:rsid w:val="007A5854"/>
    <w:rsid w:val="007A5BAE"/>
    <w:rsid w:val="007A5BEE"/>
    <w:rsid w:val="007A62F7"/>
    <w:rsid w:val="007A679D"/>
    <w:rsid w:val="007A6CDC"/>
    <w:rsid w:val="007A6FF8"/>
    <w:rsid w:val="007A7EF2"/>
    <w:rsid w:val="007A7F39"/>
    <w:rsid w:val="007B0268"/>
    <w:rsid w:val="007B02BB"/>
    <w:rsid w:val="007B0687"/>
    <w:rsid w:val="007B1ECC"/>
    <w:rsid w:val="007B22C9"/>
    <w:rsid w:val="007B3255"/>
    <w:rsid w:val="007B4537"/>
    <w:rsid w:val="007B46DA"/>
    <w:rsid w:val="007B4EFA"/>
    <w:rsid w:val="007B502F"/>
    <w:rsid w:val="007B5C0E"/>
    <w:rsid w:val="007B5FFB"/>
    <w:rsid w:val="007B6359"/>
    <w:rsid w:val="007B6A3A"/>
    <w:rsid w:val="007B6C35"/>
    <w:rsid w:val="007B6D68"/>
    <w:rsid w:val="007B6DB8"/>
    <w:rsid w:val="007B7D92"/>
    <w:rsid w:val="007B7EB9"/>
    <w:rsid w:val="007C0575"/>
    <w:rsid w:val="007C063C"/>
    <w:rsid w:val="007C1838"/>
    <w:rsid w:val="007C20FB"/>
    <w:rsid w:val="007C2959"/>
    <w:rsid w:val="007C2C9E"/>
    <w:rsid w:val="007C34A6"/>
    <w:rsid w:val="007C4169"/>
    <w:rsid w:val="007C4D56"/>
    <w:rsid w:val="007C4EE7"/>
    <w:rsid w:val="007C5120"/>
    <w:rsid w:val="007C57BF"/>
    <w:rsid w:val="007C58AB"/>
    <w:rsid w:val="007C5E70"/>
    <w:rsid w:val="007C6166"/>
    <w:rsid w:val="007C65B9"/>
    <w:rsid w:val="007C6A0F"/>
    <w:rsid w:val="007C72B4"/>
    <w:rsid w:val="007C74DB"/>
    <w:rsid w:val="007C75C6"/>
    <w:rsid w:val="007C7B10"/>
    <w:rsid w:val="007D0291"/>
    <w:rsid w:val="007D150D"/>
    <w:rsid w:val="007D1AA5"/>
    <w:rsid w:val="007D1B2A"/>
    <w:rsid w:val="007D1F50"/>
    <w:rsid w:val="007D1FA3"/>
    <w:rsid w:val="007D2BDC"/>
    <w:rsid w:val="007D2C65"/>
    <w:rsid w:val="007D36F9"/>
    <w:rsid w:val="007D390C"/>
    <w:rsid w:val="007D392B"/>
    <w:rsid w:val="007D3FE9"/>
    <w:rsid w:val="007D470A"/>
    <w:rsid w:val="007D4841"/>
    <w:rsid w:val="007D48C3"/>
    <w:rsid w:val="007D494F"/>
    <w:rsid w:val="007D4BA7"/>
    <w:rsid w:val="007D55D9"/>
    <w:rsid w:val="007D5ED8"/>
    <w:rsid w:val="007D6B9E"/>
    <w:rsid w:val="007D6F4A"/>
    <w:rsid w:val="007D7E44"/>
    <w:rsid w:val="007E0309"/>
    <w:rsid w:val="007E1021"/>
    <w:rsid w:val="007E23FD"/>
    <w:rsid w:val="007E2A84"/>
    <w:rsid w:val="007E2C58"/>
    <w:rsid w:val="007E323B"/>
    <w:rsid w:val="007E3772"/>
    <w:rsid w:val="007E4AA5"/>
    <w:rsid w:val="007E54D8"/>
    <w:rsid w:val="007E5C52"/>
    <w:rsid w:val="007E5D1C"/>
    <w:rsid w:val="007E5E31"/>
    <w:rsid w:val="007E791F"/>
    <w:rsid w:val="007F01D3"/>
    <w:rsid w:val="007F0559"/>
    <w:rsid w:val="007F1601"/>
    <w:rsid w:val="007F1857"/>
    <w:rsid w:val="007F1DCF"/>
    <w:rsid w:val="007F1E69"/>
    <w:rsid w:val="007F2603"/>
    <w:rsid w:val="007F266A"/>
    <w:rsid w:val="007F2FF8"/>
    <w:rsid w:val="007F3B40"/>
    <w:rsid w:val="007F42EC"/>
    <w:rsid w:val="007F4B31"/>
    <w:rsid w:val="007F5AFA"/>
    <w:rsid w:val="007F5B88"/>
    <w:rsid w:val="007F61B3"/>
    <w:rsid w:val="007F6D37"/>
    <w:rsid w:val="007F6FEC"/>
    <w:rsid w:val="007F7737"/>
    <w:rsid w:val="007F78DA"/>
    <w:rsid w:val="007F7CBF"/>
    <w:rsid w:val="007F7F98"/>
    <w:rsid w:val="00802CD4"/>
    <w:rsid w:val="0080384E"/>
    <w:rsid w:val="00803908"/>
    <w:rsid w:val="00803E4E"/>
    <w:rsid w:val="008046E9"/>
    <w:rsid w:val="00805D9A"/>
    <w:rsid w:val="00806192"/>
    <w:rsid w:val="00806F78"/>
    <w:rsid w:val="00807359"/>
    <w:rsid w:val="00810013"/>
    <w:rsid w:val="00811010"/>
    <w:rsid w:val="00811228"/>
    <w:rsid w:val="008115AE"/>
    <w:rsid w:val="0081205A"/>
    <w:rsid w:val="00812085"/>
    <w:rsid w:val="0081252B"/>
    <w:rsid w:val="00812850"/>
    <w:rsid w:val="008128F0"/>
    <w:rsid w:val="0081295B"/>
    <w:rsid w:val="00812A5F"/>
    <w:rsid w:val="00812FAD"/>
    <w:rsid w:val="008130B4"/>
    <w:rsid w:val="00813107"/>
    <w:rsid w:val="0081327B"/>
    <w:rsid w:val="0081381B"/>
    <w:rsid w:val="00813828"/>
    <w:rsid w:val="008145D7"/>
    <w:rsid w:val="00814807"/>
    <w:rsid w:val="0081526E"/>
    <w:rsid w:val="00815A39"/>
    <w:rsid w:val="008160DB"/>
    <w:rsid w:val="00816C7F"/>
    <w:rsid w:val="008204C6"/>
    <w:rsid w:val="00821268"/>
    <w:rsid w:val="00821601"/>
    <w:rsid w:val="00821714"/>
    <w:rsid w:val="0082277B"/>
    <w:rsid w:val="00822BAF"/>
    <w:rsid w:val="00822E24"/>
    <w:rsid w:val="008230A5"/>
    <w:rsid w:val="008235D6"/>
    <w:rsid w:val="00823971"/>
    <w:rsid w:val="00823E0C"/>
    <w:rsid w:val="00824410"/>
    <w:rsid w:val="00824958"/>
    <w:rsid w:val="00824EC5"/>
    <w:rsid w:val="0082556C"/>
    <w:rsid w:val="00825B0B"/>
    <w:rsid w:val="00825D03"/>
    <w:rsid w:val="00825F14"/>
    <w:rsid w:val="00826251"/>
    <w:rsid w:val="008268B4"/>
    <w:rsid w:val="008274E1"/>
    <w:rsid w:val="00827682"/>
    <w:rsid w:val="0082769F"/>
    <w:rsid w:val="008279EC"/>
    <w:rsid w:val="00827B24"/>
    <w:rsid w:val="00830729"/>
    <w:rsid w:val="00831442"/>
    <w:rsid w:val="00832188"/>
    <w:rsid w:val="00832457"/>
    <w:rsid w:val="00833454"/>
    <w:rsid w:val="0083440F"/>
    <w:rsid w:val="008346F9"/>
    <w:rsid w:val="00834BA1"/>
    <w:rsid w:val="00834CF3"/>
    <w:rsid w:val="00835516"/>
    <w:rsid w:val="00835D66"/>
    <w:rsid w:val="00836A18"/>
    <w:rsid w:val="0083752E"/>
    <w:rsid w:val="008375DA"/>
    <w:rsid w:val="00837C15"/>
    <w:rsid w:val="00840E2E"/>
    <w:rsid w:val="00842522"/>
    <w:rsid w:val="00843308"/>
    <w:rsid w:val="008436D3"/>
    <w:rsid w:val="00843CFD"/>
    <w:rsid w:val="00844264"/>
    <w:rsid w:val="008449AA"/>
    <w:rsid w:val="008459FD"/>
    <w:rsid w:val="00845DCC"/>
    <w:rsid w:val="00845E6C"/>
    <w:rsid w:val="008471D3"/>
    <w:rsid w:val="00847675"/>
    <w:rsid w:val="00850F0A"/>
    <w:rsid w:val="00850FE1"/>
    <w:rsid w:val="008512A0"/>
    <w:rsid w:val="008525FB"/>
    <w:rsid w:val="008526EA"/>
    <w:rsid w:val="00852BCA"/>
    <w:rsid w:val="00853205"/>
    <w:rsid w:val="008533B3"/>
    <w:rsid w:val="008538C7"/>
    <w:rsid w:val="008544AC"/>
    <w:rsid w:val="00854EEF"/>
    <w:rsid w:val="00855DBB"/>
    <w:rsid w:val="008571FE"/>
    <w:rsid w:val="00857DFD"/>
    <w:rsid w:val="00857F31"/>
    <w:rsid w:val="00860187"/>
    <w:rsid w:val="00860301"/>
    <w:rsid w:val="00860788"/>
    <w:rsid w:val="00860CB0"/>
    <w:rsid w:val="00861064"/>
    <w:rsid w:val="00861142"/>
    <w:rsid w:val="00862965"/>
    <w:rsid w:val="00862987"/>
    <w:rsid w:val="00862E67"/>
    <w:rsid w:val="00862FC3"/>
    <w:rsid w:val="00863AC9"/>
    <w:rsid w:val="00864120"/>
    <w:rsid w:val="00866E95"/>
    <w:rsid w:val="0086712F"/>
    <w:rsid w:val="00867496"/>
    <w:rsid w:val="00867B4B"/>
    <w:rsid w:val="008707B4"/>
    <w:rsid w:val="008715B6"/>
    <w:rsid w:val="008717AE"/>
    <w:rsid w:val="00871972"/>
    <w:rsid w:val="00871EA8"/>
    <w:rsid w:val="00872A2E"/>
    <w:rsid w:val="00872D23"/>
    <w:rsid w:val="00873225"/>
    <w:rsid w:val="008735D2"/>
    <w:rsid w:val="0087366B"/>
    <w:rsid w:val="008736C6"/>
    <w:rsid w:val="00873D8E"/>
    <w:rsid w:val="008761D6"/>
    <w:rsid w:val="0087631E"/>
    <w:rsid w:val="00876396"/>
    <w:rsid w:val="008764CF"/>
    <w:rsid w:val="00876A63"/>
    <w:rsid w:val="00876DA7"/>
    <w:rsid w:val="00877045"/>
    <w:rsid w:val="00877B60"/>
    <w:rsid w:val="00877EDA"/>
    <w:rsid w:val="00880177"/>
    <w:rsid w:val="00880689"/>
    <w:rsid w:val="00880698"/>
    <w:rsid w:val="00880A2F"/>
    <w:rsid w:val="00880B28"/>
    <w:rsid w:val="00880F63"/>
    <w:rsid w:val="0088221D"/>
    <w:rsid w:val="00882702"/>
    <w:rsid w:val="008828B1"/>
    <w:rsid w:val="0088306D"/>
    <w:rsid w:val="008837E7"/>
    <w:rsid w:val="00883AA0"/>
    <w:rsid w:val="00883DE6"/>
    <w:rsid w:val="00883F93"/>
    <w:rsid w:val="00884516"/>
    <w:rsid w:val="008846D3"/>
    <w:rsid w:val="00884897"/>
    <w:rsid w:val="00884E57"/>
    <w:rsid w:val="00885124"/>
    <w:rsid w:val="00885399"/>
    <w:rsid w:val="00885659"/>
    <w:rsid w:val="00885C1D"/>
    <w:rsid w:val="00886A9B"/>
    <w:rsid w:val="00886EA5"/>
    <w:rsid w:val="008870A5"/>
    <w:rsid w:val="00887261"/>
    <w:rsid w:val="00887526"/>
    <w:rsid w:val="008877F6"/>
    <w:rsid w:val="00887808"/>
    <w:rsid w:val="0088795A"/>
    <w:rsid w:val="008902FE"/>
    <w:rsid w:val="008907FD"/>
    <w:rsid w:val="00891945"/>
    <w:rsid w:val="00892082"/>
    <w:rsid w:val="008925E2"/>
    <w:rsid w:val="00892741"/>
    <w:rsid w:val="00892B21"/>
    <w:rsid w:val="00892CC1"/>
    <w:rsid w:val="008941C0"/>
    <w:rsid w:val="0089426D"/>
    <w:rsid w:val="008944E9"/>
    <w:rsid w:val="008952E8"/>
    <w:rsid w:val="008959D9"/>
    <w:rsid w:val="008975C8"/>
    <w:rsid w:val="00897D81"/>
    <w:rsid w:val="00897ED1"/>
    <w:rsid w:val="008A0B85"/>
    <w:rsid w:val="008A18A2"/>
    <w:rsid w:val="008A1D45"/>
    <w:rsid w:val="008A20B6"/>
    <w:rsid w:val="008A248E"/>
    <w:rsid w:val="008A2928"/>
    <w:rsid w:val="008A3AB9"/>
    <w:rsid w:val="008A3E32"/>
    <w:rsid w:val="008A3F50"/>
    <w:rsid w:val="008A3FFB"/>
    <w:rsid w:val="008A4056"/>
    <w:rsid w:val="008A40BB"/>
    <w:rsid w:val="008A4C82"/>
    <w:rsid w:val="008A4CB2"/>
    <w:rsid w:val="008A4D15"/>
    <w:rsid w:val="008A4FC2"/>
    <w:rsid w:val="008A5136"/>
    <w:rsid w:val="008A577D"/>
    <w:rsid w:val="008A5B1C"/>
    <w:rsid w:val="008A5FFD"/>
    <w:rsid w:val="008A7A26"/>
    <w:rsid w:val="008A7AA9"/>
    <w:rsid w:val="008A7C8E"/>
    <w:rsid w:val="008ABCBB"/>
    <w:rsid w:val="008B017A"/>
    <w:rsid w:val="008B0B36"/>
    <w:rsid w:val="008B13E4"/>
    <w:rsid w:val="008B26CB"/>
    <w:rsid w:val="008B2AE7"/>
    <w:rsid w:val="008B2DFF"/>
    <w:rsid w:val="008B31BD"/>
    <w:rsid w:val="008B387A"/>
    <w:rsid w:val="008B3F81"/>
    <w:rsid w:val="008B4159"/>
    <w:rsid w:val="008B4335"/>
    <w:rsid w:val="008B44B0"/>
    <w:rsid w:val="008B48B0"/>
    <w:rsid w:val="008B5174"/>
    <w:rsid w:val="008B5B31"/>
    <w:rsid w:val="008B5DA0"/>
    <w:rsid w:val="008B721E"/>
    <w:rsid w:val="008B7426"/>
    <w:rsid w:val="008B79F2"/>
    <w:rsid w:val="008B7D7D"/>
    <w:rsid w:val="008C08DE"/>
    <w:rsid w:val="008C17BD"/>
    <w:rsid w:val="008C1914"/>
    <w:rsid w:val="008C1B5F"/>
    <w:rsid w:val="008C1FF0"/>
    <w:rsid w:val="008C252A"/>
    <w:rsid w:val="008C2CF6"/>
    <w:rsid w:val="008C3B43"/>
    <w:rsid w:val="008C4E09"/>
    <w:rsid w:val="008C53AF"/>
    <w:rsid w:val="008C564B"/>
    <w:rsid w:val="008C633B"/>
    <w:rsid w:val="008C635F"/>
    <w:rsid w:val="008C6582"/>
    <w:rsid w:val="008C66FA"/>
    <w:rsid w:val="008C7768"/>
    <w:rsid w:val="008C7873"/>
    <w:rsid w:val="008D0044"/>
    <w:rsid w:val="008D037F"/>
    <w:rsid w:val="008D1729"/>
    <w:rsid w:val="008D1F57"/>
    <w:rsid w:val="008D31A3"/>
    <w:rsid w:val="008D3B29"/>
    <w:rsid w:val="008D4AA5"/>
    <w:rsid w:val="008D4C92"/>
    <w:rsid w:val="008D5472"/>
    <w:rsid w:val="008D5A5C"/>
    <w:rsid w:val="008D5C2F"/>
    <w:rsid w:val="008D6D6E"/>
    <w:rsid w:val="008D6D85"/>
    <w:rsid w:val="008E09CF"/>
    <w:rsid w:val="008E0B78"/>
    <w:rsid w:val="008E0D2B"/>
    <w:rsid w:val="008E163E"/>
    <w:rsid w:val="008E22A7"/>
    <w:rsid w:val="008E3497"/>
    <w:rsid w:val="008E354D"/>
    <w:rsid w:val="008E3715"/>
    <w:rsid w:val="008E4732"/>
    <w:rsid w:val="008E4A4D"/>
    <w:rsid w:val="008E53E3"/>
    <w:rsid w:val="008E6682"/>
    <w:rsid w:val="008E7518"/>
    <w:rsid w:val="008E752F"/>
    <w:rsid w:val="008E7C80"/>
    <w:rsid w:val="008F0A14"/>
    <w:rsid w:val="008F1034"/>
    <w:rsid w:val="008F246A"/>
    <w:rsid w:val="008F3603"/>
    <w:rsid w:val="008F3A10"/>
    <w:rsid w:val="008F48C1"/>
    <w:rsid w:val="008F5877"/>
    <w:rsid w:val="008F5DCC"/>
    <w:rsid w:val="008F62CE"/>
    <w:rsid w:val="008F63B0"/>
    <w:rsid w:val="008F68D3"/>
    <w:rsid w:val="008F6B46"/>
    <w:rsid w:val="008F6C51"/>
    <w:rsid w:val="008F773D"/>
    <w:rsid w:val="008F7EAE"/>
    <w:rsid w:val="0090029A"/>
    <w:rsid w:val="009005CD"/>
    <w:rsid w:val="0090154B"/>
    <w:rsid w:val="00902A06"/>
    <w:rsid w:val="00902C19"/>
    <w:rsid w:val="00902CD8"/>
    <w:rsid w:val="009036F8"/>
    <w:rsid w:val="0090503F"/>
    <w:rsid w:val="009054D8"/>
    <w:rsid w:val="0090632B"/>
    <w:rsid w:val="00906893"/>
    <w:rsid w:val="00906AA6"/>
    <w:rsid w:val="00906E1D"/>
    <w:rsid w:val="00907560"/>
    <w:rsid w:val="00907A04"/>
    <w:rsid w:val="00907D04"/>
    <w:rsid w:val="00910988"/>
    <w:rsid w:val="00910C9C"/>
    <w:rsid w:val="00910D52"/>
    <w:rsid w:val="00910E90"/>
    <w:rsid w:val="00910FE0"/>
    <w:rsid w:val="00911C58"/>
    <w:rsid w:val="009123D0"/>
    <w:rsid w:val="0091331B"/>
    <w:rsid w:val="00913D2B"/>
    <w:rsid w:val="00914A4A"/>
    <w:rsid w:val="00914B2E"/>
    <w:rsid w:val="0091548D"/>
    <w:rsid w:val="009165FE"/>
    <w:rsid w:val="009170BB"/>
    <w:rsid w:val="00917381"/>
    <w:rsid w:val="009176FD"/>
    <w:rsid w:val="009177BD"/>
    <w:rsid w:val="00917D4A"/>
    <w:rsid w:val="00920007"/>
    <w:rsid w:val="009205B1"/>
    <w:rsid w:val="009208D3"/>
    <w:rsid w:val="00920EB5"/>
    <w:rsid w:val="0092165B"/>
    <w:rsid w:val="00921F8E"/>
    <w:rsid w:val="0092354A"/>
    <w:rsid w:val="00923876"/>
    <w:rsid w:val="009239B7"/>
    <w:rsid w:val="00923DC8"/>
    <w:rsid w:val="00923E32"/>
    <w:rsid w:val="009244D5"/>
    <w:rsid w:val="009247ED"/>
    <w:rsid w:val="00925A84"/>
    <w:rsid w:val="0092620B"/>
    <w:rsid w:val="0092629B"/>
    <w:rsid w:val="00926405"/>
    <w:rsid w:val="009302FC"/>
    <w:rsid w:val="009303F9"/>
    <w:rsid w:val="009306C0"/>
    <w:rsid w:val="00931923"/>
    <w:rsid w:val="00932263"/>
    <w:rsid w:val="00932C19"/>
    <w:rsid w:val="00932FD8"/>
    <w:rsid w:val="00933208"/>
    <w:rsid w:val="009336BF"/>
    <w:rsid w:val="00934763"/>
    <w:rsid w:val="0093495D"/>
    <w:rsid w:val="0093502B"/>
    <w:rsid w:val="009363E2"/>
    <w:rsid w:val="009364C1"/>
    <w:rsid w:val="0093765D"/>
    <w:rsid w:val="009377FA"/>
    <w:rsid w:val="00940676"/>
    <w:rsid w:val="00941A66"/>
    <w:rsid w:val="00941F66"/>
    <w:rsid w:val="009430EB"/>
    <w:rsid w:val="009438D4"/>
    <w:rsid w:val="009439D3"/>
    <w:rsid w:val="00943BFF"/>
    <w:rsid w:val="00943DC4"/>
    <w:rsid w:val="00946020"/>
    <w:rsid w:val="00946F08"/>
    <w:rsid w:val="00947EC0"/>
    <w:rsid w:val="00950630"/>
    <w:rsid w:val="00950C72"/>
    <w:rsid w:val="00950EB7"/>
    <w:rsid w:val="0095111D"/>
    <w:rsid w:val="00951933"/>
    <w:rsid w:val="009519A5"/>
    <w:rsid w:val="0095280E"/>
    <w:rsid w:val="0095379B"/>
    <w:rsid w:val="00953864"/>
    <w:rsid w:val="009539E3"/>
    <w:rsid w:val="00954593"/>
    <w:rsid w:val="00954F17"/>
    <w:rsid w:val="00954F6F"/>
    <w:rsid w:val="009552FD"/>
    <w:rsid w:val="00955A35"/>
    <w:rsid w:val="00955AA7"/>
    <w:rsid w:val="00956506"/>
    <w:rsid w:val="009567EF"/>
    <w:rsid w:val="009575BE"/>
    <w:rsid w:val="00957819"/>
    <w:rsid w:val="00957906"/>
    <w:rsid w:val="00957ADD"/>
    <w:rsid w:val="00957D88"/>
    <w:rsid w:val="00957F05"/>
    <w:rsid w:val="009600BB"/>
    <w:rsid w:val="00960544"/>
    <w:rsid w:val="00961111"/>
    <w:rsid w:val="009611F8"/>
    <w:rsid w:val="009614A1"/>
    <w:rsid w:val="00961850"/>
    <w:rsid w:val="009619D3"/>
    <w:rsid w:val="00961DDF"/>
    <w:rsid w:val="00961E0E"/>
    <w:rsid w:val="0096204D"/>
    <w:rsid w:val="0096263A"/>
    <w:rsid w:val="00962C06"/>
    <w:rsid w:val="00962D64"/>
    <w:rsid w:val="009640C7"/>
    <w:rsid w:val="0096481A"/>
    <w:rsid w:val="00964B2F"/>
    <w:rsid w:val="009657F9"/>
    <w:rsid w:val="00965C87"/>
    <w:rsid w:val="00966A99"/>
    <w:rsid w:val="0096700B"/>
    <w:rsid w:val="00967C4E"/>
    <w:rsid w:val="00967E46"/>
    <w:rsid w:val="00970A4D"/>
    <w:rsid w:val="00970B1C"/>
    <w:rsid w:val="00970B58"/>
    <w:rsid w:val="009719DF"/>
    <w:rsid w:val="00971A60"/>
    <w:rsid w:val="00971D92"/>
    <w:rsid w:val="00971E8A"/>
    <w:rsid w:val="009725C9"/>
    <w:rsid w:val="00972924"/>
    <w:rsid w:val="0097294A"/>
    <w:rsid w:val="0097299A"/>
    <w:rsid w:val="00972ED9"/>
    <w:rsid w:val="00973610"/>
    <w:rsid w:val="009750FA"/>
    <w:rsid w:val="009759FC"/>
    <w:rsid w:val="009762F6"/>
    <w:rsid w:val="009769A8"/>
    <w:rsid w:val="009773F0"/>
    <w:rsid w:val="009809E3"/>
    <w:rsid w:val="00980A4D"/>
    <w:rsid w:val="00980E3D"/>
    <w:rsid w:val="00980EFC"/>
    <w:rsid w:val="00981648"/>
    <w:rsid w:val="0098176B"/>
    <w:rsid w:val="00981ACB"/>
    <w:rsid w:val="00981CFB"/>
    <w:rsid w:val="00982928"/>
    <w:rsid w:val="009832D0"/>
    <w:rsid w:val="009834C0"/>
    <w:rsid w:val="009836F8"/>
    <w:rsid w:val="00985BF9"/>
    <w:rsid w:val="00986BBE"/>
    <w:rsid w:val="00987329"/>
    <w:rsid w:val="009873FD"/>
    <w:rsid w:val="00987818"/>
    <w:rsid w:val="00990046"/>
    <w:rsid w:val="00990149"/>
    <w:rsid w:val="00990BF1"/>
    <w:rsid w:val="00990F79"/>
    <w:rsid w:val="00991648"/>
    <w:rsid w:val="00992799"/>
    <w:rsid w:val="00992816"/>
    <w:rsid w:val="00992DD9"/>
    <w:rsid w:val="00993032"/>
    <w:rsid w:val="00993284"/>
    <w:rsid w:val="00993C5E"/>
    <w:rsid w:val="009942E6"/>
    <w:rsid w:val="009943B9"/>
    <w:rsid w:val="00995B1B"/>
    <w:rsid w:val="00996683"/>
    <w:rsid w:val="00996EFB"/>
    <w:rsid w:val="00997050"/>
    <w:rsid w:val="009974AC"/>
    <w:rsid w:val="00997685"/>
    <w:rsid w:val="00997DBA"/>
    <w:rsid w:val="009A0337"/>
    <w:rsid w:val="009A0551"/>
    <w:rsid w:val="009A0FC8"/>
    <w:rsid w:val="009A1AEA"/>
    <w:rsid w:val="009A2B14"/>
    <w:rsid w:val="009A3420"/>
    <w:rsid w:val="009A3650"/>
    <w:rsid w:val="009A3F60"/>
    <w:rsid w:val="009A4585"/>
    <w:rsid w:val="009A468E"/>
    <w:rsid w:val="009A4719"/>
    <w:rsid w:val="009A4720"/>
    <w:rsid w:val="009A5675"/>
    <w:rsid w:val="009A6E40"/>
    <w:rsid w:val="009A7076"/>
    <w:rsid w:val="009B01D4"/>
    <w:rsid w:val="009B02F7"/>
    <w:rsid w:val="009B04F0"/>
    <w:rsid w:val="009B0678"/>
    <w:rsid w:val="009B2E92"/>
    <w:rsid w:val="009B3A8A"/>
    <w:rsid w:val="009B3D88"/>
    <w:rsid w:val="009B44F7"/>
    <w:rsid w:val="009B4779"/>
    <w:rsid w:val="009B5296"/>
    <w:rsid w:val="009B5463"/>
    <w:rsid w:val="009B5BA3"/>
    <w:rsid w:val="009B73E2"/>
    <w:rsid w:val="009B7534"/>
    <w:rsid w:val="009B7D9B"/>
    <w:rsid w:val="009C07AB"/>
    <w:rsid w:val="009C0BFB"/>
    <w:rsid w:val="009C1361"/>
    <w:rsid w:val="009C13E8"/>
    <w:rsid w:val="009C1EFA"/>
    <w:rsid w:val="009C2033"/>
    <w:rsid w:val="009C2B4F"/>
    <w:rsid w:val="009C2C40"/>
    <w:rsid w:val="009C306B"/>
    <w:rsid w:val="009C3B32"/>
    <w:rsid w:val="009C3C25"/>
    <w:rsid w:val="009C4645"/>
    <w:rsid w:val="009C65FB"/>
    <w:rsid w:val="009C6695"/>
    <w:rsid w:val="009C6B9C"/>
    <w:rsid w:val="009C7140"/>
    <w:rsid w:val="009D0565"/>
    <w:rsid w:val="009D0B39"/>
    <w:rsid w:val="009D10AD"/>
    <w:rsid w:val="009D1318"/>
    <w:rsid w:val="009D2512"/>
    <w:rsid w:val="009D2A10"/>
    <w:rsid w:val="009D2CFB"/>
    <w:rsid w:val="009D2EB0"/>
    <w:rsid w:val="009D3476"/>
    <w:rsid w:val="009D3C3A"/>
    <w:rsid w:val="009D3E51"/>
    <w:rsid w:val="009D3F56"/>
    <w:rsid w:val="009D3F83"/>
    <w:rsid w:val="009D40D1"/>
    <w:rsid w:val="009D41FB"/>
    <w:rsid w:val="009D4CE7"/>
    <w:rsid w:val="009D5944"/>
    <w:rsid w:val="009D5F7A"/>
    <w:rsid w:val="009D6CC3"/>
    <w:rsid w:val="009D71F5"/>
    <w:rsid w:val="009D7827"/>
    <w:rsid w:val="009D7CE8"/>
    <w:rsid w:val="009D7F1A"/>
    <w:rsid w:val="009E0C0A"/>
    <w:rsid w:val="009E25E9"/>
    <w:rsid w:val="009E27DE"/>
    <w:rsid w:val="009E3000"/>
    <w:rsid w:val="009E418D"/>
    <w:rsid w:val="009E44CC"/>
    <w:rsid w:val="009E4728"/>
    <w:rsid w:val="009E5878"/>
    <w:rsid w:val="009E6FFA"/>
    <w:rsid w:val="009F0171"/>
    <w:rsid w:val="009F05E9"/>
    <w:rsid w:val="009F095E"/>
    <w:rsid w:val="009F0A41"/>
    <w:rsid w:val="009F0F7D"/>
    <w:rsid w:val="009F10D8"/>
    <w:rsid w:val="009F2DB9"/>
    <w:rsid w:val="009F3B43"/>
    <w:rsid w:val="009F3DF6"/>
    <w:rsid w:val="009F3E80"/>
    <w:rsid w:val="009F42A4"/>
    <w:rsid w:val="009F4891"/>
    <w:rsid w:val="009F51D5"/>
    <w:rsid w:val="009F564A"/>
    <w:rsid w:val="009F5750"/>
    <w:rsid w:val="009F5A47"/>
    <w:rsid w:val="009F5AA4"/>
    <w:rsid w:val="009F5F08"/>
    <w:rsid w:val="009F66CE"/>
    <w:rsid w:val="009F6717"/>
    <w:rsid w:val="009F69C2"/>
    <w:rsid w:val="009FEFD8"/>
    <w:rsid w:val="00A002BD"/>
    <w:rsid w:val="00A0078A"/>
    <w:rsid w:val="00A00C4C"/>
    <w:rsid w:val="00A00DEA"/>
    <w:rsid w:val="00A016AB"/>
    <w:rsid w:val="00A01CD3"/>
    <w:rsid w:val="00A01D6E"/>
    <w:rsid w:val="00A01DB8"/>
    <w:rsid w:val="00A01EB2"/>
    <w:rsid w:val="00A022E2"/>
    <w:rsid w:val="00A02797"/>
    <w:rsid w:val="00A029BD"/>
    <w:rsid w:val="00A02A96"/>
    <w:rsid w:val="00A02C72"/>
    <w:rsid w:val="00A02EAA"/>
    <w:rsid w:val="00A03BB4"/>
    <w:rsid w:val="00A04453"/>
    <w:rsid w:val="00A04C1E"/>
    <w:rsid w:val="00A05709"/>
    <w:rsid w:val="00A05E3E"/>
    <w:rsid w:val="00A06566"/>
    <w:rsid w:val="00A06C28"/>
    <w:rsid w:val="00A0749C"/>
    <w:rsid w:val="00A075A2"/>
    <w:rsid w:val="00A0764E"/>
    <w:rsid w:val="00A07B0A"/>
    <w:rsid w:val="00A1025D"/>
    <w:rsid w:val="00A1090C"/>
    <w:rsid w:val="00A11237"/>
    <w:rsid w:val="00A12742"/>
    <w:rsid w:val="00A12AB3"/>
    <w:rsid w:val="00A1361E"/>
    <w:rsid w:val="00A14040"/>
    <w:rsid w:val="00A14F3D"/>
    <w:rsid w:val="00A150A6"/>
    <w:rsid w:val="00A15124"/>
    <w:rsid w:val="00A156A5"/>
    <w:rsid w:val="00A15BFD"/>
    <w:rsid w:val="00A16DDC"/>
    <w:rsid w:val="00A204DB"/>
    <w:rsid w:val="00A205FE"/>
    <w:rsid w:val="00A20682"/>
    <w:rsid w:val="00A20AF0"/>
    <w:rsid w:val="00A20BD0"/>
    <w:rsid w:val="00A211E0"/>
    <w:rsid w:val="00A212BC"/>
    <w:rsid w:val="00A21ABD"/>
    <w:rsid w:val="00A2204F"/>
    <w:rsid w:val="00A222FF"/>
    <w:rsid w:val="00A23EB1"/>
    <w:rsid w:val="00A23ECE"/>
    <w:rsid w:val="00A24868"/>
    <w:rsid w:val="00A25923"/>
    <w:rsid w:val="00A2625E"/>
    <w:rsid w:val="00A262A9"/>
    <w:rsid w:val="00A26454"/>
    <w:rsid w:val="00A26884"/>
    <w:rsid w:val="00A26AE8"/>
    <w:rsid w:val="00A26FCE"/>
    <w:rsid w:val="00A2706F"/>
    <w:rsid w:val="00A27E6B"/>
    <w:rsid w:val="00A3000F"/>
    <w:rsid w:val="00A3016F"/>
    <w:rsid w:val="00A30C7C"/>
    <w:rsid w:val="00A3131C"/>
    <w:rsid w:val="00A3226C"/>
    <w:rsid w:val="00A32D9A"/>
    <w:rsid w:val="00A33BCF"/>
    <w:rsid w:val="00A341E7"/>
    <w:rsid w:val="00A34422"/>
    <w:rsid w:val="00A345B1"/>
    <w:rsid w:val="00A34E40"/>
    <w:rsid w:val="00A35AEB"/>
    <w:rsid w:val="00A35FDF"/>
    <w:rsid w:val="00A363AE"/>
    <w:rsid w:val="00A36D4D"/>
    <w:rsid w:val="00A37A99"/>
    <w:rsid w:val="00A402EF"/>
    <w:rsid w:val="00A407BF"/>
    <w:rsid w:val="00A40D9C"/>
    <w:rsid w:val="00A417EB"/>
    <w:rsid w:val="00A42E7B"/>
    <w:rsid w:val="00A42EF4"/>
    <w:rsid w:val="00A450C1"/>
    <w:rsid w:val="00A456DA"/>
    <w:rsid w:val="00A4585A"/>
    <w:rsid w:val="00A4691A"/>
    <w:rsid w:val="00A46BC4"/>
    <w:rsid w:val="00A46C98"/>
    <w:rsid w:val="00A505BF"/>
    <w:rsid w:val="00A51E5B"/>
    <w:rsid w:val="00A52A6B"/>
    <w:rsid w:val="00A55005"/>
    <w:rsid w:val="00A550BB"/>
    <w:rsid w:val="00A5576D"/>
    <w:rsid w:val="00A55A7D"/>
    <w:rsid w:val="00A55C6F"/>
    <w:rsid w:val="00A56C92"/>
    <w:rsid w:val="00A57049"/>
    <w:rsid w:val="00A57663"/>
    <w:rsid w:val="00A57AD7"/>
    <w:rsid w:val="00A601FF"/>
    <w:rsid w:val="00A60527"/>
    <w:rsid w:val="00A61180"/>
    <w:rsid w:val="00A6167A"/>
    <w:rsid w:val="00A62358"/>
    <w:rsid w:val="00A62815"/>
    <w:rsid w:val="00A62921"/>
    <w:rsid w:val="00A632B2"/>
    <w:rsid w:val="00A63411"/>
    <w:rsid w:val="00A63572"/>
    <w:rsid w:val="00A63ABF"/>
    <w:rsid w:val="00A643F9"/>
    <w:rsid w:val="00A64A34"/>
    <w:rsid w:val="00A64FD9"/>
    <w:rsid w:val="00A65018"/>
    <w:rsid w:val="00A65061"/>
    <w:rsid w:val="00A65B42"/>
    <w:rsid w:val="00A6686E"/>
    <w:rsid w:val="00A66971"/>
    <w:rsid w:val="00A66992"/>
    <w:rsid w:val="00A676A1"/>
    <w:rsid w:val="00A67A24"/>
    <w:rsid w:val="00A67E42"/>
    <w:rsid w:val="00A7022F"/>
    <w:rsid w:val="00A70794"/>
    <w:rsid w:val="00A72067"/>
    <w:rsid w:val="00A72614"/>
    <w:rsid w:val="00A72906"/>
    <w:rsid w:val="00A7293D"/>
    <w:rsid w:val="00A72E75"/>
    <w:rsid w:val="00A7336F"/>
    <w:rsid w:val="00A73E29"/>
    <w:rsid w:val="00A74B85"/>
    <w:rsid w:val="00A750A5"/>
    <w:rsid w:val="00A75122"/>
    <w:rsid w:val="00A75EB4"/>
    <w:rsid w:val="00A75EE8"/>
    <w:rsid w:val="00A76564"/>
    <w:rsid w:val="00A76C8F"/>
    <w:rsid w:val="00A77FCC"/>
    <w:rsid w:val="00A80479"/>
    <w:rsid w:val="00A81CA2"/>
    <w:rsid w:val="00A8240A"/>
    <w:rsid w:val="00A82884"/>
    <w:rsid w:val="00A83F6E"/>
    <w:rsid w:val="00A83FEF"/>
    <w:rsid w:val="00A8493C"/>
    <w:rsid w:val="00A8561F"/>
    <w:rsid w:val="00A85EBF"/>
    <w:rsid w:val="00A86BDD"/>
    <w:rsid w:val="00A87642"/>
    <w:rsid w:val="00A87B7B"/>
    <w:rsid w:val="00A87FB2"/>
    <w:rsid w:val="00A90647"/>
    <w:rsid w:val="00A910DE"/>
    <w:rsid w:val="00A913DF"/>
    <w:rsid w:val="00A91C89"/>
    <w:rsid w:val="00A91E0C"/>
    <w:rsid w:val="00A91EF0"/>
    <w:rsid w:val="00A92011"/>
    <w:rsid w:val="00A92ADD"/>
    <w:rsid w:val="00A92D51"/>
    <w:rsid w:val="00A92F39"/>
    <w:rsid w:val="00A93176"/>
    <w:rsid w:val="00A9431E"/>
    <w:rsid w:val="00A9437C"/>
    <w:rsid w:val="00A9447C"/>
    <w:rsid w:val="00A94CA2"/>
    <w:rsid w:val="00A95FA0"/>
    <w:rsid w:val="00A96330"/>
    <w:rsid w:val="00A965E7"/>
    <w:rsid w:val="00A9701D"/>
    <w:rsid w:val="00A97762"/>
    <w:rsid w:val="00A977D1"/>
    <w:rsid w:val="00A97ACE"/>
    <w:rsid w:val="00A97B91"/>
    <w:rsid w:val="00A97C0D"/>
    <w:rsid w:val="00AA02C3"/>
    <w:rsid w:val="00AA0E1A"/>
    <w:rsid w:val="00AA1162"/>
    <w:rsid w:val="00AA1350"/>
    <w:rsid w:val="00AA2570"/>
    <w:rsid w:val="00AA28D6"/>
    <w:rsid w:val="00AA526C"/>
    <w:rsid w:val="00AA55C7"/>
    <w:rsid w:val="00AA607B"/>
    <w:rsid w:val="00AA63AB"/>
    <w:rsid w:val="00AA6A92"/>
    <w:rsid w:val="00AA7160"/>
    <w:rsid w:val="00AA76E7"/>
    <w:rsid w:val="00AB0865"/>
    <w:rsid w:val="00AB18EA"/>
    <w:rsid w:val="00AB1A8D"/>
    <w:rsid w:val="00AB311F"/>
    <w:rsid w:val="00AB39DD"/>
    <w:rsid w:val="00AB47BB"/>
    <w:rsid w:val="00AB4FCB"/>
    <w:rsid w:val="00AB5225"/>
    <w:rsid w:val="00AB542E"/>
    <w:rsid w:val="00AB5791"/>
    <w:rsid w:val="00AB5C8D"/>
    <w:rsid w:val="00AB61F7"/>
    <w:rsid w:val="00AB695D"/>
    <w:rsid w:val="00AB799A"/>
    <w:rsid w:val="00AB7D89"/>
    <w:rsid w:val="00ABA79C"/>
    <w:rsid w:val="00AC1DA0"/>
    <w:rsid w:val="00AC1FE2"/>
    <w:rsid w:val="00AC2749"/>
    <w:rsid w:val="00AC3174"/>
    <w:rsid w:val="00AC3752"/>
    <w:rsid w:val="00AC3967"/>
    <w:rsid w:val="00AC3AFE"/>
    <w:rsid w:val="00AC53D0"/>
    <w:rsid w:val="00AC561D"/>
    <w:rsid w:val="00AC5C4B"/>
    <w:rsid w:val="00AC6383"/>
    <w:rsid w:val="00AC6611"/>
    <w:rsid w:val="00AC66B9"/>
    <w:rsid w:val="00AC689F"/>
    <w:rsid w:val="00AC6989"/>
    <w:rsid w:val="00AC6C11"/>
    <w:rsid w:val="00AC7993"/>
    <w:rsid w:val="00AD070C"/>
    <w:rsid w:val="00AD0782"/>
    <w:rsid w:val="00AD07C6"/>
    <w:rsid w:val="00AD2C91"/>
    <w:rsid w:val="00AD2D16"/>
    <w:rsid w:val="00AD3EA2"/>
    <w:rsid w:val="00AD5430"/>
    <w:rsid w:val="00AD5A09"/>
    <w:rsid w:val="00AD65AE"/>
    <w:rsid w:val="00AD66FF"/>
    <w:rsid w:val="00AD6E84"/>
    <w:rsid w:val="00AD718F"/>
    <w:rsid w:val="00AD7C39"/>
    <w:rsid w:val="00AD7DB6"/>
    <w:rsid w:val="00AE0919"/>
    <w:rsid w:val="00AE19A4"/>
    <w:rsid w:val="00AE214F"/>
    <w:rsid w:val="00AE23ED"/>
    <w:rsid w:val="00AE2D95"/>
    <w:rsid w:val="00AE38E2"/>
    <w:rsid w:val="00AE40BE"/>
    <w:rsid w:val="00AE49B8"/>
    <w:rsid w:val="00AE4B14"/>
    <w:rsid w:val="00AE539F"/>
    <w:rsid w:val="00AE5851"/>
    <w:rsid w:val="00AF0E6A"/>
    <w:rsid w:val="00AF1004"/>
    <w:rsid w:val="00AF10BF"/>
    <w:rsid w:val="00AF1258"/>
    <w:rsid w:val="00AF197B"/>
    <w:rsid w:val="00AF27FC"/>
    <w:rsid w:val="00AF3118"/>
    <w:rsid w:val="00AF339A"/>
    <w:rsid w:val="00AF3BCD"/>
    <w:rsid w:val="00AF40D7"/>
    <w:rsid w:val="00AF41C8"/>
    <w:rsid w:val="00AF4D81"/>
    <w:rsid w:val="00AF5BD9"/>
    <w:rsid w:val="00AF6065"/>
    <w:rsid w:val="00AF612C"/>
    <w:rsid w:val="00AF6700"/>
    <w:rsid w:val="00AF7A64"/>
    <w:rsid w:val="00AF7C6D"/>
    <w:rsid w:val="00B001BB"/>
    <w:rsid w:val="00B00339"/>
    <w:rsid w:val="00B00350"/>
    <w:rsid w:val="00B00A6F"/>
    <w:rsid w:val="00B00E09"/>
    <w:rsid w:val="00B00F13"/>
    <w:rsid w:val="00B016A5"/>
    <w:rsid w:val="00B016C2"/>
    <w:rsid w:val="00B01CA0"/>
    <w:rsid w:val="00B02034"/>
    <w:rsid w:val="00B02B74"/>
    <w:rsid w:val="00B03065"/>
    <w:rsid w:val="00B0311B"/>
    <w:rsid w:val="00B0348A"/>
    <w:rsid w:val="00B037D7"/>
    <w:rsid w:val="00B0397A"/>
    <w:rsid w:val="00B03A3F"/>
    <w:rsid w:val="00B046E2"/>
    <w:rsid w:val="00B04F96"/>
    <w:rsid w:val="00B04FA6"/>
    <w:rsid w:val="00B05495"/>
    <w:rsid w:val="00B06241"/>
    <w:rsid w:val="00B067EB"/>
    <w:rsid w:val="00B06B5D"/>
    <w:rsid w:val="00B06BF2"/>
    <w:rsid w:val="00B073E6"/>
    <w:rsid w:val="00B079E7"/>
    <w:rsid w:val="00B07B73"/>
    <w:rsid w:val="00B1098A"/>
    <w:rsid w:val="00B11381"/>
    <w:rsid w:val="00B11530"/>
    <w:rsid w:val="00B1172B"/>
    <w:rsid w:val="00B117A3"/>
    <w:rsid w:val="00B11FF8"/>
    <w:rsid w:val="00B12337"/>
    <w:rsid w:val="00B1235D"/>
    <w:rsid w:val="00B12727"/>
    <w:rsid w:val="00B12B69"/>
    <w:rsid w:val="00B12E12"/>
    <w:rsid w:val="00B133AB"/>
    <w:rsid w:val="00B134A2"/>
    <w:rsid w:val="00B13A7F"/>
    <w:rsid w:val="00B15B69"/>
    <w:rsid w:val="00B15F4F"/>
    <w:rsid w:val="00B15F7B"/>
    <w:rsid w:val="00B1622A"/>
    <w:rsid w:val="00B16D66"/>
    <w:rsid w:val="00B16F1E"/>
    <w:rsid w:val="00B16FD4"/>
    <w:rsid w:val="00B2031A"/>
    <w:rsid w:val="00B2087C"/>
    <w:rsid w:val="00B20B63"/>
    <w:rsid w:val="00B20FB5"/>
    <w:rsid w:val="00B2204B"/>
    <w:rsid w:val="00B22264"/>
    <w:rsid w:val="00B22D74"/>
    <w:rsid w:val="00B22FF0"/>
    <w:rsid w:val="00B23676"/>
    <w:rsid w:val="00B24125"/>
    <w:rsid w:val="00B242B0"/>
    <w:rsid w:val="00B2494A"/>
    <w:rsid w:val="00B2520C"/>
    <w:rsid w:val="00B2544C"/>
    <w:rsid w:val="00B2598B"/>
    <w:rsid w:val="00B25B4F"/>
    <w:rsid w:val="00B26E73"/>
    <w:rsid w:val="00B300A5"/>
    <w:rsid w:val="00B3044C"/>
    <w:rsid w:val="00B3100E"/>
    <w:rsid w:val="00B316BD"/>
    <w:rsid w:val="00B31BA5"/>
    <w:rsid w:val="00B31F1F"/>
    <w:rsid w:val="00B320A3"/>
    <w:rsid w:val="00B32352"/>
    <w:rsid w:val="00B328FE"/>
    <w:rsid w:val="00B330A2"/>
    <w:rsid w:val="00B3330A"/>
    <w:rsid w:val="00B33E3C"/>
    <w:rsid w:val="00B33F3D"/>
    <w:rsid w:val="00B34261"/>
    <w:rsid w:val="00B3564E"/>
    <w:rsid w:val="00B35BC1"/>
    <w:rsid w:val="00B35C61"/>
    <w:rsid w:val="00B3631C"/>
    <w:rsid w:val="00B36529"/>
    <w:rsid w:val="00B366ED"/>
    <w:rsid w:val="00B36BE6"/>
    <w:rsid w:val="00B37098"/>
    <w:rsid w:val="00B370D9"/>
    <w:rsid w:val="00B3761D"/>
    <w:rsid w:val="00B37B28"/>
    <w:rsid w:val="00B4116C"/>
    <w:rsid w:val="00B4139D"/>
    <w:rsid w:val="00B41E13"/>
    <w:rsid w:val="00B427A0"/>
    <w:rsid w:val="00B42A0F"/>
    <w:rsid w:val="00B42D3D"/>
    <w:rsid w:val="00B43AB1"/>
    <w:rsid w:val="00B44AAB"/>
    <w:rsid w:val="00B45549"/>
    <w:rsid w:val="00B457E3"/>
    <w:rsid w:val="00B4648B"/>
    <w:rsid w:val="00B468C7"/>
    <w:rsid w:val="00B46DCE"/>
    <w:rsid w:val="00B46F10"/>
    <w:rsid w:val="00B4783B"/>
    <w:rsid w:val="00B47967"/>
    <w:rsid w:val="00B5029C"/>
    <w:rsid w:val="00B5070D"/>
    <w:rsid w:val="00B51407"/>
    <w:rsid w:val="00B516CD"/>
    <w:rsid w:val="00B5283F"/>
    <w:rsid w:val="00B52944"/>
    <w:rsid w:val="00B52D89"/>
    <w:rsid w:val="00B54778"/>
    <w:rsid w:val="00B55486"/>
    <w:rsid w:val="00B56A3F"/>
    <w:rsid w:val="00B56CDF"/>
    <w:rsid w:val="00B577A0"/>
    <w:rsid w:val="00B57961"/>
    <w:rsid w:val="00B57996"/>
    <w:rsid w:val="00B57C2B"/>
    <w:rsid w:val="00B608E8"/>
    <w:rsid w:val="00B60CE7"/>
    <w:rsid w:val="00B60D72"/>
    <w:rsid w:val="00B61736"/>
    <w:rsid w:val="00B6189F"/>
    <w:rsid w:val="00B618EA"/>
    <w:rsid w:val="00B62B48"/>
    <w:rsid w:val="00B634EE"/>
    <w:rsid w:val="00B64070"/>
    <w:rsid w:val="00B64668"/>
    <w:rsid w:val="00B64883"/>
    <w:rsid w:val="00B64A48"/>
    <w:rsid w:val="00B64C9D"/>
    <w:rsid w:val="00B651B4"/>
    <w:rsid w:val="00B65598"/>
    <w:rsid w:val="00B6562F"/>
    <w:rsid w:val="00B657D2"/>
    <w:rsid w:val="00B65948"/>
    <w:rsid w:val="00B65F67"/>
    <w:rsid w:val="00B66E2E"/>
    <w:rsid w:val="00B67572"/>
    <w:rsid w:val="00B67D73"/>
    <w:rsid w:val="00B700A0"/>
    <w:rsid w:val="00B701F9"/>
    <w:rsid w:val="00B70463"/>
    <w:rsid w:val="00B70649"/>
    <w:rsid w:val="00B70833"/>
    <w:rsid w:val="00B70B3D"/>
    <w:rsid w:val="00B71071"/>
    <w:rsid w:val="00B7121F"/>
    <w:rsid w:val="00B7131D"/>
    <w:rsid w:val="00B715B6"/>
    <w:rsid w:val="00B7169D"/>
    <w:rsid w:val="00B71C91"/>
    <w:rsid w:val="00B71E7A"/>
    <w:rsid w:val="00B728CB"/>
    <w:rsid w:val="00B72C04"/>
    <w:rsid w:val="00B72D8C"/>
    <w:rsid w:val="00B72E25"/>
    <w:rsid w:val="00B7306C"/>
    <w:rsid w:val="00B74537"/>
    <w:rsid w:val="00B74C3F"/>
    <w:rsid w:val="00B74E14"/>
    <w:rsid w:val="00B75336"/>
    <w:rsid w:val="00B75630"/>
    <w:rsid w:val="00B7586F"/>
    <w:rsid w:val="00B75A5B"/>
    <w:rsid w:val="00B75A8A"/>
    <w:rsid w:val="00B76659"/>
    <w:rsid w:val="00B7698C"/>
    <w:rsid w:val="00B7720B"/>
    <w:rsid w:val="00B776C1"/>
    <w:rsid w:val="00B80513"/>
    <w:rsid w:val="00B81337"/>
    <w:rsid w:val="00B81690"/>
    <w:rsid w:val="00B81D60"/>
    <w:rsid w:val="00B81DA0"/>
    <w:rsid w:val="00B823D2"/>
    <w:rsid w:val="00B830F9"/>
    <w:rsid w:val="00B83140"/>
    <w:rsid w:val="00B83ABF"/>
    <w:rsid w:val="00B83B5A"/>
    <w:rsid w:val="00B83E7C"/>
    <w:rsid w:val="00B83FC9"/>
    <w:rsid w:val="00B8488C"/>
    <w:rsid w:val="00B84DEA"/>
    <w:rsid w:val="00B8591B"/>
    <w:rsid w:val="00B87503"/>
    <w:rsid w:val="00B87E1E"/>
    <w:rsid w:val="00B9008C"/>
    <w:rsid w:val="00B902CD"/>
    <w:rsid w:val="00B90768"/>
    <w:rsid w:val="00B90BA9"/>
    <w:rsid w:val="00B90D9B"/>
    <w:rsid w:val="00B911E3"/>
    <w:rsid w:val="00B91438"/>
    <w:rsid w:val="00B91673"/>
    <w:rsid w:val="00B91701"/>
    <w:rsid w:val="00B919D5"/>
    <w:rsid w:val="00B91D47"/>
    <w:rsid w:val="00B924FF"/>
    <w:rsid w:val="00B9266E"/>
    <w:rsid w:val="00B932C3"/>
    <w:rsid w:val="00B9350D"/>
    <w:rsid w:val="00B938B5"/>
    <w:rsid w:val="00B947AC"/>
    <w:rsid w:val="00B949B2"/>
    <w:rsid w:val="00B95029"/>
    <w:rsid w:val="00B95269"/>
    <w:rsid w:val="00B956CC"/>
    <w:rsid w:val="00B959F1"/>
    <w:rsid w:val="00B95F20"/>
    <w:rsid w:val="00B96694"/>
    <w:rsid w:val="00B96986"/>
    <w:rsid w:val="00B96B14"/>
    <w:rsid w:val="00B96C59"/>
    <w:rsid w:val="00BA0790"/>
    <w:rsid w:val="00BA09CF"/>
    <w:rsid w:val="00BA0AF1"/>
    <w:rsid w:val="00BA0F3C"/>
    <w:rsid w:val="00BA14CA"/>
    <w:rsid w:val="00BA1660"/>
    <w:rsid w:val="00BA1BF1"/>
    <w:rsid w:val="00BA315C"/>
    <w:rsid w:val="00BA3172"/>
    <w:rsid w:val="00BA376A"/>
    <w:rsid w:val="00BA377E"/>
    <w:rsid w:val="00BA3984"/>
    <w:rsid w:val="00BA39A4"/>
    <w:rsid w:val="00BA456A"/>
    <w:rsid w:val="00BA4571"/>
    <w:rsid w:val="00BA4630"/>
    <w:rsid w:val="00BA4767"/>
    <w:rsid w:val="00BA4D33"/>
    <w:rsid w:val="00BA5151"/>
    <w:rsid w:val="00BA599C"/>
    <w:rsid w:val="00BA7738"/>
    <w:rsid w:val="00BB02C9"/>
    <w:rsid w:val="00BB0F73"/>
    <w:rsid w:val="00BB1A04"/>
    <w:rsid w:val="00BB487E"/>
    <w:rsid w:val="00BB4923"/>
    <w:rsid w:val="00BB4B35"/>
    <w:rsid w:val="00BB4FA8"/>
    <w:rsid w:val="00BB53F1"/>
    <w:rsid w:val="00BB5ACC"/>
    <w:rsid w:val="00BB695F"/>
    <w:rsid w:val="00BB6A73"/>
    <w:rsid w:val="00BB6C6C"/>
    <w:rsid w:val="00BC01F9"/>
    <w:rsid w:val="00BC15CC"/>
    <w:rsid w:val="00BC1CE3"/>
    <w:rsid w:val="00BC1E4C"/>
    <w:rsid w:val="00BC1E59"/>
    <w:rsid w:val="00BC27CE"/>
    <w:rsid w:val="00BC29C3"/>
    <w:rsid w:val="00BC2A16"/>
    <w:rsid w:val="00BC2CF8"/>
    <w:rsid w:val="00BC2D4A"/>
    <w:rsid w:val="00BC35CF"/>
    <w:rsid w:val="00BC4444"/>
    <w:rsid w:val="00BC4699"/>
    <w:rsid w:val="00BC4A62"/>
    <w:rsid w:val="00BC5621"/>
    <w:rsid w:val="00BC5E25"/>
    <w:rsid w:val="00BC6147"/>
    <w:rsid w:val="00BC6A41"/>
    <w:rsid w:val="00BC704D"/>
    <w:rsid w:val="00BC7C16"/>
    <w:rsid w:val="00BC7E14"/>
    <w:rsid w:val="00BC7F38"/>
    <w:rsid w:val="00BD0644"/>
    <w:rsid w:val="00BD0C07"/>
    <w:rsid w:val="00BD0F1E"/>
    <w:rsid w:val="00BD15A7"/>
    <w:rsid w:val="00BD17F9"/>
    <w:rsid w:val="00BD1989"/>
    <w:rsid w:val="00BD1C1C"/>
    <w:rsid w:val="00BD1D87"/>
    <w:rsid w:val="00BD2F0E"/>
    <w:rsid w:val="00BD3A69"/>
    <w:rsid w:val="00BD44BB"/>
    <w:rsid w:val="00BD4FBB"/>
    <w:rsid w:val="00BD53F8"/>
    <w:rsid w:val="00BD5BA2"/>
    <w:rsid w:val="00BD62E0"/>
    <w:rsid w:val="00BD6DCC"/>
    <w:rsid w:val="00BD70D9"/>
    <w:rsid w:val="00BD73E7"/>
    <w:rsid w:val="00BD7FC6"/>
    <w:rsid w:val="00BE0137"/>
    <w:rsid w:val="00BE0568"/>
    <w:rsid w:val="00BE086B"/>
    <w:rsid w:val="00BE121A"/>
    <w:rsid w:val="00BE141A"/>
    <w:rsid w:val="00BE14E1"/>
    <w:rsid w:val="00BE1ECA"/>
    <w:rsid w:val="00BE2531"/>
    <w:rsid w:val="00BE2B04"/>
    <w:rsid w:val="00BE36D9"/>
    <w:rsid w:val="00BE3B12"/>
    <w:rsid w:val="00BE4F29"/>
    <w:rsid w:val="00BE5946"/>
    <w:rsid w:val="00BE5CD9"/>
    <w:rsid w:val="00BE60F6"/>
    <w:rsid w:val="00BE6297"/>
    <w:rsid w:val="00BE7807"/>
    <w:rsid w:val="00BE7DD6"/>
    <w:rsid w:val="00BF06FE"/>
    <w:rsid w:val="00BF07C1"/>
    <w:rsid w:val="00BF1B47"/>
    <w:rsid w:val="00BF1D1B"/>
    <w:rsid w:val="00BF1E1A"/>
    <w:rsid w:val="00BF289D"/>
    <w:rsid w:val="00BF2D57"/>
    <w:rsid w:val="00BF30D1"/>
    <w:rsid w:val="00BF3307"/>
    <w:rsid w:val="00BF4162"/>
    <w:rsid w:val="00BF428E"/>
    <w:rsid w:val="00BF53A5"/>
    <w:rsid w:val="00BF56BA"/>
    <w:rsid w:val="00BF56D8"/>
    <w:rsid w:val="00BF5B7A"/>
    <w:rsid w:val="00BF5C55"/>
    <w:rsid w:val="00BF695A"/>
    <w:rsid w:val="00BFFC9D"/>
    <w:rsid w:val="00C00271"/>
    <w:rsid w:val="00C00B1A"/>
    <w:rsid w:val="00C02350"/>
    <w:rsid w:val="00C02DCA"/>
    <w:rsid w:val="00C03164"/>
    <w:rsid w:val="00C034D2"/>
    <w:rsid w:val="00C03916"/>
    <w:rsid w:val="00C043CA"/>
    <w:rsid w:val="00C045A4"/>
    <w:rsid w:val="00C0491C"/>
    <w:rsid w:val="00C04F02"/>
    <w:rsid w:val="00C05392"/>
    <w:rsid w:val="00C05838"/>
    <w:rsid w:val="00C05910"/>
    <w:rsid w:val="00C05F7B"/>
    <w:rsid w:val="00C0688B"/>
    <w:rsid w:val="00C06D00"/>
    <w:rsid w:val="00C06D14"/>
    <w:rsid w:val="00C0723F"/>
    <w:rsid w:val="00C0759D"/>
    <w:rsid w:val="00C07870"/>
    <w:rsid w:val="00C07A8D"/>
    <w:rsid w:val="00C07E3F"/>
    <w:rsid w:val="00C10519"/>
    <w:rsid w:val="00C1059E"/>
    <w:rsid w:val="00C1069A"/>
    <w:rsid w:val="00C11C08"/>
    <w:rsid w:val="00C11C0E"/>
    <w:rsid w:val="00C120A2"/>
    <w:rsid w:val="00C126B7"/>
    <w:rsid w:val="00C128C4"/>
    <w:rsid w:val="00C14252"/>
    <w:rsid w:val="00C14D28"/>
    <w:rsid w:val="00C15784"/>
    <w:rsid w:val="00C1636E"/>
    <w:rsid w:val="00C163E6"/>
    <w:rsid w:val="00C1686E"/>
    <w:rsid w:val="00C16BAC"/>
    <w:rsid w:val="00C16E35"/>
    <w:rsid w:val="00C17194"/>
    <w:rsid w:val="00C209B2"/>
    <w:rsid w:val="00C210FA"/>
    <w:rsid w:val="00C21317"/>
    <w:rsid w:val="00C21885"/>
    <w:rsid w:val="00C21A53"/>
    <w:rsid w:val="00C23247"/>
    <w:rsid w:val="00C24892"/>
    <w:rsid w:val="00C248A4"/>
    <w:rsid w:val="00C25638"/>
    <w:rsid w:val="00C260A8"/>
    <w:rsid w:val="00C26519"/>
    <w:rsid w:val="00C26D81"/>
    <w:rsid w:val="00C26E9E"/>
    <w:rsid w:val="00C27116"/>
    <w:rsid w:val="00C32314"/>
    <w:rsid w:val="00C32393"/>
    <w:rsid w:val="00C32443"/>
    <w:rsid w:val="00C32450"/>
    <w:rsid w:val="00C334C4"/>
    <w:rsid w:val="00C33836"/>
    <w:rsid w:val="00C33F58"/>
    <w:rsid w:val="00C33F90"/>
    <w:rsid w:val="00C34DEE"/>
    <w:rsid w:val="00C34EFF"/>
    <w:rsid w:val="00C3534F"/>
    <w:rsid w:val="00C357B8"/>
    <w:rsid w:val="00C358B7"/>
    <w:rsid w:val="00C35ADF"/>
    <w:rsid w:val="00C35B13"/>
    <w:rsid w:val="00C35B89"/>
    <w:rsid w:val="00C35BCB"/>
    <w:rsid w:val="00C36A6B"/>
    <w:rsid w:val="00C371A9"/>
    <w:rsid w:val="00C37444"/>
    <w:rsid w:val="00C4020F"/>
    <w:rsid w:val="00C40364"/>
    <w:rsid w:val="00C4050E"/>
    <w:rsid w:val="00C40B60"/>
    <w:rsid w:val="00C4118D"/>
    <w:rsid w:val="00C411E8"/>
    <w:rsid w:val="00C41831"/>
    <w:rsid w:val="00C422C5"/>
    <w:rsid w:val="00C425BE"/>
    <w:rsid w:val="00C4273E"/>
    <w:rsid w:val="00C429AB"/>
    <w:rsid w:val="00C42B3E"/>
    <w:rsid w:val="00C42D69"/>
    <w:rsid w:val="00C4318E"/>
    <w:rsid w:val="00C448A3"/>
    <w:rsid w:val="00C44A2E"/>
    <w:rsid w:val="00C45601"/>
    <w:rsid w:val="00C45B38"/>
    <w:rsid w:val="00C45D8F"/>
    <w:rsid w:val="00C45DB9"/>
    <w:rsid w:val="00C461A3"/>
    <w:rsid w:val="00C464C6"/>
    <w:rsid w:val="00C501C1"/>
    <w:rsid w:val="00C501C3"/>
    <w:rsid w:val="00C507B3"/>
    <w:rsid w:val="00C52081"/>
    <w:rsid w:val="00C5307B"/>
    <w:rsid w:val="00C539D0"/>
    <w:rsid w:val="00C53E7B"/>
    <w:rsid w:val="00C5453E"/>
    <w:rsid w:val="00C54619"/>
    <w:rsid w:val="00C5514D"/>
    <w:rsid w:val="00C55354"/>
    <w:rsid w:val="00C55518"/>
    <w:rsid w:val="00C55B46"/>
    <w:rsid w:val="00C55F5A"/>
    <w:rsid w:val="00C56BA7"/>
    <w:rsid w:val="00C56F13"/>
    <w:rsid w:val="00C573B2"/>
    <w:rsid w:val="00C576E4"/>
    <w:rsid w:val="00C57BA3"/>
    <w:rsid w:val="00C60134"/>
    <w:rsid w:val="00C6054F"/>
    <w:rsid w:val="00C61851"/>
    <w:rsid w:val="00C619BC"/>
    <w:rsid w:val="00C61CA0"/>
    <w:rsid w:val="00C62285"/>
    <w:rsid w:val="00C625EF"/>
    <w:rsid w:val="00C62E92"/>
    <w:rsid w:val="00C6313A"/>
    <w:rsid w:val="00C637DF"/>
    <w:rsid w:val="00C63E58"/>
    <w:rsid w:val="00C641A7"/>
    <w:rsid w:val="00C64A75"/>
    <w:rsid w:val="00C64E94"/>
    <w:rsid w:val="00C64FF9"/>
    <w:rsid w:val="00C654DE"/>
    <w:rsid w:val="00C6585C"/>
    <w:rsid w:val="00C65BB1"/>
    <w:rsid w:val="00C66813"/>
    <w:rsid w:val="00C66A88"/>
    <w:rsid w:val="00C66E8A"/>
    <w:rsid w:val="00C71659"/>
    <w:rsid w:val="00C7197D"/>
    <w:rsid w:val="00C72291"/>
    <w:rsid w:val="00C729B1"/>
    <w:rsid w:val="00C73FB9"/>
    <w:rsid w:val="00C74527"/>
    <w:rsid w:val="00C74BA9"/>
    <w:rsid w:val="00C74D19"/>
    <w:rsid w:val="00C74D42"/>
    <w:rsid w:val="00C75B6C"/>
    <w:rsid w:val="00C76BC4"/>
    <w:rsid w:val="00C76C31"/>
    <w:rsid w:val="00C7727E"/>
    <w:rsid w:val="00C77AA0"/>
    <w:rsid w:val="00C80383"/>
    <w:rsid w:val="00C80497"/>
    <w:rsid w:val="00C815D0"/>
    <w:rsid w:val="00C81746"/>
    <w:rsid w:val="00C81889"/>
    <w:rsid w:val="00C81A4A"/>
    <w:rsid w:val="00C81C61"/>
    <w:rsid w:val="00C8221C"/>
    <w:rsid w:val="00C823CE"/>
    <w:rsid w:val="00C825CE"/>
    <w:rsid w:val="00C82F39"/>
    <w:rsid w:val="00C83063"/>
    <w:rsid w:val="00C83320"/>
    <w:rsid w:val="00C8393B"/>
    <w:rsid w:val="00C83C4E"/>
    <w:rsid w:val="00C858B4"/>
    <w:rsid w:val="00C858EE"/>
    <w:rsid w:val="00C86205"/>
    <w:rsid w:val="00C86772"/>
    <w:rsid w:val="00C86A58"/>
    <w:rsid w:val="00C86F42"/>
    <w:rsid w:val="00C86F60"/>
    <w:rsid w:val="00C87264"/>
    <w:rsid w:val="00C872D0"/>
    <w:rsid w:val="00C87742"/>
    <w:rsid w:val="00C87C0E"/>
    <w:rsid w:val="00C90282"/>
    <w:rsid w:val="00C90328"/>
    <w:rsid w:val="00C91483"/>
    <w:rsid w:val="00C914E1"/>
    <w:rsid w:val="00C9172A"/>
    <w:rsid w:val="00C91768"/>
    <w:rsid w:val="00C91AC1"/>
    <w:rsid w:val="00C91B04"/>
    <w:rsid w:val="00C926DE"/>
    <w:rsid w:val="00C92770"/>
    <w:rsid w:val="00C9355E"/>
    <w:rsid w:val="00C93815"/>
    <w:rsid w:val="00C93E3F"/>
    <w:rsid w:val="00C93F10"/>
    <w:rsid w:val="00C95F10"/>
    <w:rsid w:val="00C9601A"/>
    <w:rsid w:val="00C96152"/>
    <w:rsid w:val="00C96C9B"/>
    <w:rsid w:val="00C96F3B"/>
    <w:rsid w:val="00C97140"/>
    <w:rsid w:val="00C971AA"/>
    <w:rsid w:val="00C977B3"/>
    <w:rsid w:val="00C97CEB"/>
    <w:rsid w:val="00C97DA7"/>
    <w:rsid w:val="00CA008F"/>
    <w:rsid w:val="00CA13FB"/>
    <w:rsid w:val="00CA1889"/>
    <w:rsid w:val="00CA18B9"/>
    <w:rsid w:val="00CA1F95"/>
    <w:rsid w:val="00CA2374"/>
    <w:rsid w:val="00CA34A0"/>
    <w:rsid w:val="00CA373D"/>
    <w:rsid w:val="00CA3C94"/>
    <w:rsid w:val="00CA4B69"/>
    <w:rsid w:val="00CA4BA9"/>
    <w:rsid w:val="00CA5906"/>
    <w:rsid w:val="00CA6A9E"/>
    <w:rsid w:val="00CA6B9E"/>
    <w:rsid w:val="00CA6FDB"/>
    <w:rsid w:val="00CA7A1B"/>
    <w:rsid w:val="00CB0189"/>
    <w:rsid w:val="00CB03E2"/>
    <w:rsid w:val="00CB0671"/>
    <w:rsid w:val="00CB1CED"/>
    <w:rsid w:val="00CB2405"/>
    <w:rsid w:val="00CB3D51"/>
    <w:rsid w:val="00CB3F64"/>
    <w:rsid w:val="00CB402E"/>
    <w:rsid w:val="00CB48CF"/>
    <w:rsid w:val="00CB54C6"/>
    <w:rsid w:val="00CB5A07"/>
    <w:rsid w:val="00CB60FE"/>
    <w:rsid w:val="00CB64CA"/>
    <w:rsid w:val="00CB6B05"/>
    <w:rsid w:val="00CB6B21"/>
    <w:rsid w:val="00CB6BF8"/>
    <w:rsid w:val="00CB7D20"/>
    <w:rsid w:val="00CC03D2"/>
    <w:rsid w:val="00CC1F8F"/>
    <w:rsid w:val="00CC2E13"/>
    <w:rsid w:val="00CC3132"/>
    <w:rsid w:val="00CC362B"/>
    <w:rsid w:val="00CC3C3B"/>
    <w:rsid w:val="00CC4508"/>
    <w:rsid w:val="00CC4A04"/>
    <w:rsid w:val="00CC4D9F"/>
    <w:rsid w:val="00CC4F68"/>
    <w:rsid w:val="00CC50F2"/>
    <w:rsid w:val="00CC5467"/>
    <w:rsid w:val="00CC5A1B"/>
    <w:rsid w:val="00CC5A40"/>
    <w:rsid w:val="00CC5A50"/>
    <w:rsid w:val="00CC5E0E"/>
    <w:rsid w:val="00CC5E12"/>
    <w:rsid w:val="00CC63E3"/>
    <w:rsid w:val="00CC6631"/>
    <w:rsid w:val="00CC6875"/>
    <w:rsid w:val="00CC725B"/>
    <w:rsid w:val="00CC74D5"/>
    <w:rsid w:val="00CC780B"/>
    <w:rsid w:val="00CD124F"/>
    <w:rsid w:val="00CD12C2"/>
    <w:rsid w:val="00CD1CBC"/>
    <w:rsid w:val="00CD1F92"/>
    <w:rsid w:val="00CD3108"/>
    <w:rsid w:val="00CD44CB"/>
    <w:rsid w:val="00CD464B"/>
    <w:rsid w:val="00CD5B6E"/>
    <w:rsid w:val="00CD5C51"/>
    <w:rsid w:val="00CD5F1E"/>
    <w:rsid w:val="00CD5FAE"/>
    <w:rsid w:val="00CD6531"/>
    <w:rsid w:val="00CD6697"/>
    <w:rsid w:val="00CD6DBC"/>
    <w:rsid w:val="00CD7FC7"/>
    <w:rsid w:val="00CE01A9"/>
    <w:rsid w:val="00CE09F4"/>
    <w:rsid w:val="00CE2A17"/>
    <w:rsid w:val="00CE3D2B"/>
    <w:rsid w:val="00CE42DD"/>
    <w:rsid w:val="00CE4424"/>
    <w:rsid w:val="00CE45D1"/>
    <w:rsid w:val="00CE45F4"/>
    <w:rsid w:val="00CE6770"/>
    <w:rsid w:val="00CE6AC8"/>
    <w:rsid w:val="00CE6D53"/>
    <w:rsid w:val="00CE7597"/>
    <w:rsid w:val="00CE7615"/>
    <w:rsid w:val="00CF0E83"/>
    <w:rsid w:val="00CF1D4B"/>
    <w:rsid w:val="00CF281B"/>
    <w:rsid w:val="00CF28A9"/>
    <w:rsid w:val="00CF2916"/>
    <w:rsid w:val="00CF406D"/>
    <w:rsid w:val="00CF40F2"/>
    <w:rsid w:val="00CF42DA"/>
    <w:rsid w:val="00CF4EBF"/>
    <w:rsid w:val="00CF5330"/>
    <w:rsid w:val="00CF53E9"/>
    <w:rsid w:val="00CF550B"/>
    <w:rsid w:val="00CF5E28"/>
    <w:rsid w:val="00CF63C7"/>
    <w:rsid w:val="00CF654B"/>
    <w:rsid w:val="00CF66B8"/>
    <w:rsid w:val="00CF66C7"/>
    <w:rsid w:val="00CF66E3"/>
    <w:rsid w:val="00CF683D"/>
    <w:rsid w:val="00CF6B62"/>
    <w:rsid w:val="00CF6D86"/>
    <w:rsid w:val="00CF6EC8"/>
    <w:rsid w:val="00CF700A"/>
    <w:rsid w:val="00CF70AB"/>
    <w:rsid w:val="00CF780E"/>
    <w:rsid w:val="00D00559"/>
    <w:rsid w:val="00D01414"/>
    <w:rsid w:val="00D01867"/>
    <w:rsid w:val="00D01BC3"/>
    <w:rsid w:val="00D02304"/>
    <w:rsid w:val="00D0445A"/>
    <w:rsid w:val="00D047BE"/>
    <w:rsid w:val="00D04AED"/>
    <w:rsid w:val="00D04DC3"/>
    <w:rsid w:val="00D05140"/>
    <w:rsid w:val="00D052CD"/>
    <w:rsid w:val="00D05ACE"/>
    <w:rsid w:val="00D05EBA"/>
    <w:rsid w:val="00D0611B"/>
    <w:rsid w:val="00D07C1C"/>
    <w:rsid w:val="00D10745"/>
    <w:rsid w:val="00D1092D"/>
    <w:rsid w:val="00D10E2E"/>
    <w:rsid w:val="00D1139E"/>
    <w:rsid w:val="00D12047"/>
    <w:rsid w:val="00D12A05"/>
    <w:rsid w:val="00D1346F"/>
    <w:rsid w:val="00D13D42"/>
    <w:rsid w:val="00D13ED6"/>
    <w:rsid w:val="00D142B1"/>
    <w:rsid w:val="00D14A91"/>
    <w:rsid w:val="00D14F02"/>
    <w:rsid w:val="00D15F25"/>
    <w:rsid w:val="00D164F2"/>
    <w:rsid w:val="00D16A31"/>
    <w:rsid w:val="00D17E9E"/>
    <w:rsid w:val="00D20224"/>
    <w:rsid w:val="00D225C0"/>
    <w:rsid w:val="00D22B21"/>
    <w:rsid w:val="00D22FD2"/>
    <w:rsid w:val="00D2308D"/>
    <w:rsid w:val="00D237AB"/>
    <w:rsid w:val="00D239E0"/>
    <w:rsid w:val="00D24066"/>
    <w:rsid w:val="00D246B2"/>
    <w:rsid w:val="00D25008"/>
    <w:rsid w:val="00D25386"/>
    <w:rsid w:val="00D25628"/>
    <w:rsid w:val="00D25A22"/>
    <w:rsid w:val="00D265C8"/>
    <w:rsid w:val="00D26FF1"/>
    <w:rsid w:val="00D276FD"/>
    <w:rsid w:val="00D30F70"/>
    <w:rsid w:val="00D312C4"/>
    <w:rsid w:val="00D315C9"/>
    <w:rsid w:val="00D31874"/>
    <w:rsid w:val="00D319B2"/>
    <w:rsid w:val="00D31D42"/>
    <w:rsid w:val="00D3257A"/>
    <w:rsid w:val="00D3277C"/>
    <w:rsid w:val="00D32CF2"/>
    <w:rsid w:val="00D3393D"/>
    <w:rsid w:val="00D33BC2"/>
    <w:rsid w:val="00D34098"/>
    <w:rsid w:val="00D3467D"/>
    <w:rsid w:val="00D34BF0"/>
    <w:rsid w:val="00D34C20"/>
    <w:rsid w:val="00D34E04"/>
    <w:rsid w:val="00D35404"/>
    <w:rsid w:val="00D371B1"/>
    <w:rsid w:val="00D403C3"/>
    <w:rsid w:val="00D4040B"/>
    <w:rsid w:val="00D40655"/>
    <w:rsid w:val="00D41E0E"/>
    <w:rsid w:val="00D422A7"/>
    <w:rsid w:val="00D42F4B"/>
    <w:rsid w:val="00D43645"/>
    <w:rsid w:val="00D445D8"/>
    <w:rsid w:val="00D448ED"/>
    <w:rsid w:val="00D44B6F"/>
    <w:rsid w:val="00D44B92"/>
    <w:rsid w:val="00D45F66"/>
    <w:rsid w:val="00D461D3"/>
    <w:rsid w:val="00D47ACB"/>
    <w:rsid w:val="00D47F46"/>
    <w:rsid w:val="00D503A9"/>
    <w:rsid w:val="00D51E4E"/>
    <w:rsid w:val="00D52117"/>
    <w:rsid w:val="00D52369"/>
    <w:rsid w:val="00D52A8D"/>
    <w:rsid w:val="00D530D3"/>
    <w:rsid w:val="00D53ABC"/>
    <w:rsid w:val="00D54951"/>
    <w:rsid w:val="00D54A24"/>
    <w:rsid w:val="00D55046"/>
    <w:rsid w:val="00D55E36"/>
    <w:rsid w:val="00D55F7B"/>
    <w:rsid w:val="00D5614D"/>
    <w:rsid w:val="00D563E4"/>
    <w:rsid w:val="00D56EB1"/>
    <w:rsid w:val="00D573A0"/>
    <w:rsid w:val="00D57DF8"/>
    <w:rsid w:val="00D60992"/>
    <w:rsid w:val="00D60F05"/>
    <w:rsid w:val="00D61107"/>
    <w:rsid w:val="00D612F5"/>
    <w:rsid w:val="00D614CA"/>
    <w:rsid w:val="00D614E1"/>
    <w:rsid w:val="00D615BD"/>
    <w:rsid w:val="00D623DC"/>
    <w:rsid w:val="00D623F4"/>
    <w:rsid w:val="00D6298F"/>
    <w:rsid w:val="00D62996"/>
    <w:rsid w:val="00D63433"/>
    <w:rsid w:val="00D6370F"/>
    <w:rsid w:val="00D63EA3"/>
    <w:rsid w:val="00D63F35"/>
    <w:rsid w:val="00D64B51"/>
    <w:rsid w:val="00D65D0E"/>
    <w:rsid w:val="00D65DE5"/>
    <w:rsid w:val="00D65E2F"/>
    <w:rsid w:val="00D65FEB"/>
    <w:rsid w:val="00D66A90"/>
    <w:rsid w:val="00D66AC8"/>
    <w:rsid w:val="00D676CF"/>
    <w:rsid w:val="00D67D21"/>
    <w:rsid w:val="00D70248"/>
    <w:rsid w:val="00D702F1"/>
    <w:rsid w:val="00D70396"/>
    <w:rsid w:val="00D707E2"/>
    <w:rsid w:val="00D71544"/>
    <w:rsid w:val="00D72220"/>
    <w:rsid w:val="00D72D59"/>
    <w:rsid w:val="00D7331F"/>
    <w:rsid w:val="00D738C1"/>
    <w:rsid w:val="00D7662C"/>
    <w:rsid w:val="00D76B50"/>
    <w:rsid w:val="00D770F5"/>
    <w:rsid w:val="00D778B6"/>
    <w:rsid w:val="00D80586"/>
    <w:rsid w:val="00D8177C"/>
    <w:rsid w:val="00D81E4C"/>
    <w:rsid w:val="00D837A1"/>
    <w:rsid w:val="00D84005"/>
    <w:rsid w:val="00D84658"/>
    <w:rsid w:val="00D848E8"/>
    <w:rsid w:val="00D8639F"/>
    <w:rsid w:val="00D86B5E"/>
    <w:rsid w:val="00D86D14"/>
    <w:rsid w:val="00D87660"/>
    <w:rsid w:val="00D90FED"/>
    <w:rsid w:val="00D913F1"/>
    <w:rsid w:val="00D914AC"/>
    <w:rsid w:val="00D9173A"/>
    <w:rsid w:val="00D91B50"/>
    <w:rsid w:val="00D91DB5"/>
    <w:rsid w:val="00D92002"/>
    <w:rsid w:val="00D9472E"/>
    <w:rsid w:val="00D95254"/>
    <w:rsid w:val="00D961E7"/>
    <w:rsid w:val="00D9694F"/>
    <w:rsid w:val="00D97663"/>
    <w:rsid w:val="00D97D9B"/>
    <w:rsid w:val="00DA012E"/>
    <w:rsid w:val="00DA0497"/>
    <w:rsid w:val="00DA0516"/>
    <w:rsid w:val="00DA0819"/>
    <w:rsid w:val="00DA0D57"/>
    <w:rsid w:val="00DA1353"/>
    <w:rsid w:val="00DA2DFC"/>
    <w:rsid w:val="00DA3B40"/>
    <w:rsid w:val="00DA3B8C"/>
    <w:rsid w:val="00DA3E84"/>
    <w:rsid w:val="00DA58D4"/>
    <w:rsid w:val="00DA5B5A"/>
    <w:rsid w:val="00DA5C6C"/>
    <w:rsid w:val="00DA5D60"/>
    <w:rsid w:val="00DA5EE6"/>
    <w:rsid w:val="00DA6428"/>
    <w:rsid w:val="00DA68C0"/>
    <w:rsid w:val="00DA6BDC"/>
    <w:rsid w:val="00DA6DBE"/>
    <w:rsid w:val="00DA736F"/>
    <w:rsid w:val="00DA75A3"/>
    <w:rsid w:val="00DA7D53"/>
    <w:rsid w:val="00DB0803"/>
    <w:rsid w:val="00DB0F97"/>
    <w:rsid w:val="00DB0FB7"/>
    <w:rsid w:val="00DB1B5E"/>
    <w:rsid w:val="00DB2A30"/>
    <w:rsid w:val="00DB300F"/>
    <w:rsid w:val="00DB358E"/>
    <w:rsid w:val="00DB3B7F"/>
    <w:rsid w:val="00DB3E5F"/>
    <w:rsid w:val="00DB43E6"/>
    <w:rsid w:val="00DB5012"/>
    <w:rsid w:val="00DB513B"/>
    <w:rsid w:val="00DB53FA"/>
    <w:rsid w:val="00DB53FD"/>
    <w:rsid w:val="00DB5D8C"/>
    <w:rsid w:val="00DB6D42"/>
    <w:rsid w:val="00DB70B2"/>
    <w:rsid w:val="00DB796E"/>
    <w:rsid w:val="00DC05F9"/>
    <w:rsid w:val="00DC2118"/>
    <w:rsid w:val="00DC276D"/>
    <w:rsid w:val="00DC297D"/>
    <w:rsid w:val="00DC31AF"/>
    <w:rsid w:val="00DC3640"/>
    <w:rsid w:val="00DC3BB7"/>
    <w:rsid w:val="00DC49CA"/>
    <w:rsid w:val="00DC60E3"/>
    <w:rsid w:val="00DC6305"/>
    <w:rsid w:val="00DC7749"/>
    <w:rsid w:val="00DC7982"/>
    <w:rsid w:val="00DC7AA0"/>
    <w:rsid w:val="00DC7C54"/>
    <w:rsid w:val="00DD09C6"/>
    <w:rsid w:val="00DD0BC0"/>
    <w:rsid w:val="00DD0CDA"/>
    <w:rsid w:val="00DD0F13"/>
    <w:rsid w:val="00DD11E2"/>
    <w:rsid w:val="00DD2433"/>
    <w:rsid w:val="00DD24E1"/>
    <w:rsid w:val="00DD27EA"/>
    <w:rsid w:val="00DD29B5"/>
    <w:rsid w:val="00DD2C99"/>
    <w:rsid w:val="00DD3965"/>
    <w:rsid w:val="00DD4673"/>
    <w:rsid w:val="00DD4BCF"/>
    <w:rsid w:val="00DD555C"/>
    <w:rsid w:val="00DD563A"/>
    <w:rsid w:val="00DD5CB9"/>
    <w:rsid w:val="00DD5CF5"/>
    <w:rsid w:val="00DD6010"/>
    <w:rsid w:val="00DD61BA"/>
    <w:rsid w:val="00DE184D"/>
    <w:rsid w:val="00DE1BB4"/>
    <w:rsid w:val="00DE35C0"/>
    <w:rsid w:val="00DE3B26"/>
    <w:rsid w:val="00DE3F00"/>
    <w:rsid w:val="00DE3F67"/>
    <w:rsid w:val="00DE476A"/>
    <w:rsid w:val="00DE4873"/>
    <w:rsid w:val="00DE4A61"/>
    <w:rsid w:val="00DE4ADA"/>
    <w:rsid w:val="00DE4C43"/>
    <w:rsid w:val="00DE53B3"/>
    <w:rsid w:val="00DE5741"/>
    <w:rsid w:val="00DE57BB"/>
    <w:rsid w:val="00DE61D4"/>
    <w:rsid w:val="00DE6545"/>
    <w:rsid w:val="00DE7425"/>
    <w:rsid w:val="00DE7AD8"/>
    <w:rsid w:val="00DE7E33"/>
    <w:rsid w:val="00DE7F1D"/>
    <w:rsid w:val="00DE7F87"/>
    <w:rsid w:val="00DF0EF7"/>
    <w:rsid w:val="00DF17D9"/>
    <w:rsid w:val="00DF2069"/>
    <w:rsid w:val="00DF22EB"/>
    <w:rsid w:val="00DF28FC"/>
    <w:rsid w:val="00DF29D6"/>
    <w:rsid w:val="00DF3161"/>
    <w:rsid w:val="00DF394A"/>
    <w:rsid w:val="00DF4947"/>
    <w:rsid w:val="00DF4D75"/>
    <w:rsid w:val="00DF56E9"/>
    <w:rsid w:val="00DF7997"/>
    <w:rsid w:val="00DF7D21"/>
    <w:rsid w:val="00E00618"/>
    <w:rsid w:val="00E00D8A"/>
    <w:rsid w:val="00E00FB0"/>
    <w:rsid w:val="00E01855"/>
    <w:rsid w:val="00E01B93"/>
    <w:rsid w:val="00E01D71"/>
    <w:rsid w:val="00E02139"/>
    <w:rsid w:val="00E0290F"/>
    <w:rsid w:val="00E03788"/>
    <w:rsid w:val="00E03BB3"/>
    <w:rsid w:val="00E04E51"/>
    <w:rsid w:val="00E051E5"/>
    <w:rsid w:val="00E069A5"/>
    <w:rsid w:val="00E06D89"/>
    <w:rsid w:val="00E07300"/>
    <w:rsid w:val="00E0748C"/>
    <w:rsid w:val="00E07E19"/>
    <w:rsid w:val="00E11D8D"/>
    <w:rsid w:val="00E11F21"/>
    <w:rsid w:val="00E12E5F"/>
    <w:rsid w:val="00E130CB"/>
    <w:rsid w:val="00E131BD"/>
    <w:rsid w:val="00E131D2"/>
    <w:rsid w:val="00E13564"/>
    <w:rsid w:val="00E13A0C"/>
    <w:rsid w:val="00E14529"/>
    <w:rsid w:val="00E14893"/>
    <w:rsid w:val="00E15868"/>
    <w:rsid w:val="00E15B3A"/>
    <w:rsid w:val="00E1621B"/>
    <w:rsid w:val="00E1679D"/>
    <w:rsid w:val="00E167CC"/>
    <w:rsid w:val="00E168A4"/>
    <w:rsid w:val="00E1695C"/>
    <w:rsid w:val="00E16B53"/>
    <w:rsid w:val="00E179BF"/>
    <w:rsid w:val="00E17A54"/>
    <w:rsid w:val="00E17EC0"/>
    <w:rsid w:val="00E20CE3"/>
    <w:rsid w:val="00E216BF"/>
    <w:rsid w:val="00E219EA"/>
    <w:rsid w:val="00E23E07"/>
    <w:rsid w:val="00E2469B"/>
    <w:rsid w:val="00E254E4"/>
    <w:rsid w:val="00E255F7"/>
    <w:rsid w:val="00E256F3"/>
    <w:rsid w:val="00E2629A"/>
    <w:rsid w:val="00E27499"/>
    <w:rsid w:val="00E27E20"/>
    <w:rsid w:val="00E30424"/>
    <w:rsid w:val="00E30B34"/>
    <w:rsid w:val="00E310C1"/>
    <w:rsid w:val="00E3143B"/>
    <w:rsid w:val="00E31613"/>
    <w:rsid w:val="00E318EE"/>
    <w:rsid w:val="00E32782"/>
    <w:rsid w:val="00E32885"/>
    <w:rsid w:val="00E32943"/>
    <w:rsid w:val="00E32E94"/>
    <w:rsid w:val="00E33625"/>
    <w:rsid w:val="00E33DCD"/>
    <w:rsid w:val="00E34AA4"/>
    <w:rsid w:val="00E3512A"/>
    <w:rsid w:val="00E35432"/>
    <w:rsid w:val="00E35EE3"/>
    <w:rsid w:val="00E3602D"/>
    <w:rsid w:val="00E370B0"/>
    <w:rsid w:val="00E37372"/>
    <w:rsid w:val="00E40094"/>
    <w:rsid w:val="00E409C5"/>
    <w:rsid w:val="00E40A73"/>
    <w:rsid w:val="00E4110D"/>
    <w:rsid w:val="00E415D2"/>
    <w:rsid w:val="00E41722"/>
    <w:rsid w:val="00E42511"/>
    <w:rsid w:val="00E440B1"/>
    <w:rsid w:val="00E45620"/>
    <w:rsid w:val="00E459E8"/>
    <w:rsid w:val="00E45AC6"/>
    <w:rsid w:val="00E46E50"/>
    <w:rsid w:val="00E50815"/>
    <w:rsid w:val="00E5087D"/>
    <w:rsid w:val="00E5099A"/>
    <w:rsid w:val="00E50ED8"/>
    <w:rsid w:val="00E5101A"/>
    <w:rsid w:val="00E51225"/>
    <w:rsid w:val="00E514EF"/>
    <w:rsid w:val="00E5169C"/>
    <w:rsid w:val="00E51A52"/>
    <w:rsid w:val="00E5210A"/>
    <w:rsid w:val="00E523F4"/>
    <w:rsid w:val="00E52843"/>
    <w:rsid w:val="00E52F33"/>
    <w:rsid w:val="00E53045"/>
    <w:rsid w:val="00E540C7"/>
    <w:rsid w:val="00E556AC"/>
    <w:rsid w:val="00E55AA7"/>
    <w:rsid w:val="00E55D7C"/>
    <w:rsid w:val="00E5687E"/>
    <w:rsid w:val="00E56BD2"/>
    <w:rsid w:val="00E56CD4"/>
    <w:rsid w:val="00E57E13"/>
    <w:rsid w:val="00E6108D"/>
    <w:rsid w:val="00E6142F"/>
    <w:rsid w:val="00E622F4"/>
    <w:rsid w:val="00E6243D"/>
    <w:rsid w:val="00E62647"/>
    <w:rsid w:val="00E62696"/>
    <w:rsid w:val="00E6280D"/>
    <w:rsid w:val="00E62D3B"/>
    <w:rsid w:val="00E62FCB"/>
    <w:rsid w:val="00E6310A"/>
    <w:rsid w:val="00E63620"/>
    <w:rsid w:val="00E63B6A"/>
    <w:rsid w:val="00E640BB"/>
    <w:rsid w:val="00E6431A"/>
    <w:rsid w:val="00E64572"/>
    <w:rsid w:val="00E64755"/>
    <w:rsid w:val="00E64809"/>
    <w:rsid w:val="00E64B3E"/>
    <w:rsid w:val="00E6573B"/>
    <w:rsid w:val="00E659F7"/>
    <w:rsid w:val="00E65CEB"/>
    <w:rsid w:val="00E67C73"/>
    <w:rsid w:val="00E70553"/>
    <w:rsid w:val="00E70B0E"/>
    <w:rsid w:val="00E710E3"/>
    <w:rsid w:val="00E71130"/>
    <w:rsid w:val="00E713C9"/>
    <w:rsid w:val="00E71766"/>
    <w:rsid w:val="00E717B7"/>
    <w:rsid w:val="00E71AF2"/>
    <w:rsid w:val="00E71C28"/>
    <w:rsid w:val="00E728BE"/>
    <w:rsid w:val="00E72E4A"/>
    <w:rsid w:val="00E73107"/>
    <w:rsid w:val="00E73261"/>
    <w:rsid w:val="00E73A93"/>
    <w:rsid w:val="00E73EC8"/>
    <w:rsid w:val="00E74627"/>
    <w:rsid w:val="00E7503D"/>
    <w:rsid w:val="00E75C23"/>
    <w:rsid w:val="00E81C46"/>
    <w:rsid w:val="00E81CED"/>
    <w:rsid w:val="00E822B8"/>
    <w:rsid w:val="00E824C7"/>
    <w:rsid w:val="00E8259C"/>
    <w:rsid w:val="00E82784"/>
    <w:rsid w:val="00E82A81"/>
    <w:rsid w:val="00E8308D"/>
    <w:rsid w:val="00E83255"/>
    <w:rsid w:val="00E836D0"/>
    <w:rsid w:val="00E83CD5"/>
    <w:rsid w:val="00E83E34"/>
    <w:rsid w:val="00E84199"/>
    <w:rsid w:val="00E844CB"/>
    <w:rsid w:val="00E84EC9"/>
    <w:rsid w:val="00E85193"/>
    <w:rsid w:val="00E852E3"/>
    <w:rsid w:val="00E85806"/>
    <w:rsid w:val="00E861C5"/>
    <w:rsid w:val="00E86279"/>
    <w:rsid w:val="00E866F3"/>
    <w:rsid w:val="00E8757E"/>
    <w:rsid w:val="00E900F7"/>
    <w:rsid w:val="00E90CE2"/>
    <w:rsid w:val="00E917B3"/>
    <w:rsid w:val="00E91A7D"/>
    <w:rsid w:val="00E91B27"/>
    <w:rsid w:val="00E92EFE"/>
    <w:rsid w:val="00E93A6C"/>
    <w:rsid w:val="00E93D54"/>
    <w:rsid w:val="00E9401E"/>
    <w:rsid w:val="00E94F87"/>
    <w:rsid w:val="00E9502B"/>
    <w:rsid w:val="00E95114"/>
    <w:rsid w:val="00E954E0"/>
    <w:rsid w:val="00E95BE5"/>
    <w:rsid w:val="00E95EAA"/>
    <w:rsid w:val="00E96641"/>
    <w:rsid w:val="00E96B98"/>
    <w:rsid w:val="00E97183"/>
    <w:rsid w:val="00E978BF"/>
    <w:rsid w:val="00E97ACC"/>
    <w:rsid w:val="00E97DE2"/>
    <w:rsid w:val="00EA02A0"/>
    <w:rsid w:val="00EA0900"/>
    <w:rsid w:val="00EA09B9"/>
    <w:rsid w:val="00EA0E7A"/>
    <w:rsid w:val="00EA0F67"/>
    <w:rsid w:val="00EA0FD9"/>
    <w:rsid w:val="00EA1D7B"/>
    <w:rsid w:val="00EA1DD5"/>
    <w:rsid w:val="00EA247D"/>
    <w:rsid w:val="00EA26F1"/>
    <w:rsid w:val="00EA3D8F"/>
    <w:rsid w:val="00EA5009"/>
    <w:rsid w:val="00EA5C25"/>
    <w:rsid w:val="00EA60C9"/>
    <w:rsid w:val="00EA612B"/>
    <w:rsid w:val="00EA7193"/>
    <w:rsid w:val="00EA7F22"/>
    <w:rsid w:val="00EB0066"/>
    <w:rsid w:val="00EB15DD"/>
    <w:rsid w:val="00EB1AB8"/>
    <w:rsid w:val="00EB2552"/>
    <w:rsid w:val="00EB27B1"/>
    <w:rsid w:val="00EB2C17"/>
    <w:rsid w:val="00EB3020"/>
    <w:rsid w:val="00EB31C9"/>
    <w:rsid w:val="00EB3251"/>
    <w:rsid w:val="00EB32E5"/>
    <w:rsid w:val="00EB3A7C"/>
    <w:rsid w:val="00EB3BD7"/>
    <w:rsid w:val="00EB3C6F"/>
    <w:rsid w:val="00EB3CD8"/>
    <w:rsid w:val="00EB4B60"/>
    <w:rsid w:val="00EB52F0"/>
    <w:rsid w:val="00EB60A8"/>
    <w:rsid w:val="00EB68F5"/>
    <w:rsid w:val="00EB789D"/>
    <w:rsid w:val="00EC04E5"/>
    <w:rsid w:val="00EC0ADC"/>
    <w:rsid w:val="00EC13B6"/>
    <w:rsid w:val="00EC14CB"/>
    <w:rsid w:val="00EC1849"/>
    <w:rsid w:val="00EC22EE"/>
    <w:rsid w:val="00EC25F1"/>
    <w:rsid w:val="00EC25F5"/>
    <w:rsid w:val="00EC2826"/>
    <w:rsid w:val="00EC2E90"/>
    <w:rsid w:val="00EC35A9"/>
    <w:rsid w:val="00EC363A"/>
    <w:rsid w:val="00EC4D30"/>
    <w:rsid w:val="00EC51C2"/>
    <w:rsid w:val="00EC6344"/>
    <w:rsid w:val="00EC693B"/>
    <w:rsid w:val="00EC6D0D"/>
    <w:rsid w:val="00EC6D6B"/>
    <w:rsid w:val="00EC7BE9"/>
    <w:rsid w:val="00EC7E67"/>
    <w:rsid w:val="00ED0163"/>
    <w:rsid w:val="00ED0712"/>
    <w:rsid w:val="00ED0767"/>
    <w:rsid w:val="00ED0CAA"/>
    <w:rsid w:val="00ED1B3B"/>
    <w:rsid w:val="00ED2E04"/>
    <w:rsid w:val="00ED348E"/>
    <w:rsid w:val="00ED3D40"/>
    <w:rsid w:val="00ED3D96"/>
    <w:rsid w:val="00ED450D"/>
    <w:rsid w:val="00ED4796"/>
    <w:rsid w:val="00ED4CEE"/>
    <w:rsid w:val="00ED4FF2"/>
    <w:rsid w:val="00ED52DC"/>
    <w:rsid w:val="00ED56FA"/>
    <w:rsid w:val="00ED5BC1"/>
    <w:rsid w:val="00ED69C2"/>
    <w:rsid w:val="00ED6FCF"/>
    <w:rsid w:val="00ED7093"/>
    <w:rsid w:val="00EE0418"/>
    <w:rsid w:val="00EE0751"/>
    <w:rsid w:val="00EE0776"/>
    <w:rsid w:val="00EE079A"/>
    <w:rsid w:val="00EE0C18"/>
    <w:rsid w:val="00EE10EB"/>
    <w:rsid w:val="00EE1904"/>
    <w:rsid w:val="00EE228D"/>
    <w:rsid w:val="00EE22B0"/>
    <w:rsid w:val="00EE2C29"/>
    <w:rsid w:val="00EE2DD0"/>
    <w:rsid w:val="00EE3283"/>
    <w:rsid w:val="00EE334D"/>
    <w:rsid w:val="00EE3A24"/>
    <w:rsid w:val="00EE47A0"/>
    <w:rsid w:val="00EE4879"/>
    <w:rsid w:val="00EE4B43"/>
    <w:rsid w:val="00EE64F5"/>
    <w:rsid w:val="00EE6F3A"/>
    <w:rsid w:val="00EE7D5F"/>
    <w:rsid w:val="00EE7EAA"/>
    <w:rsid w:val="00EF047D"/>
    <w:rsid w:val="00EF249E"/>
    <w:rsid w:val="00EF2C04"/>
    <w:rsid w:val="00EF41C4"/>
    <w:rsid w:val="00EF4D86"/>
    <w:rsid w:val="00EF4DA8"/>
    <w:rsid w:val="00EF4F07"/>
    <w:rsid w:val="00EF52BB"/>
    <w:rsid w:val="00EF61B1"/>
    <w:rsid w:val="00EF651A"/>
    <w:rsid w:val="00EF7781"/>
    <w:rsid w:val="00EF7D00"/>
    <w:rsid w:val="00EF7D0A"/>
    <w:rsid w:val="00F009D4"/>
    <w:rsid w:val="00F00E0E"/>
    <w:rsid w:val="00F01351"/>
    <w:rsid w:val="00F0162C"/>
    <w:rsid w:val="00F01B60"/>
    <w:rsid w:val="00F01BB1"/>
    <w:rsid w:val="00F021AD"/>
    <w:rsid w:val="00F021F0"/>
    <w:rsid w:val="00F02960"/>
    <w:rsid w:val="00F02D32"/>
    <w:rsid w:val="00F032E7"/>
    <w:rsid w:val="00F04156"/>
    <w:rsid w:val="00F04D3D"/>
    <w:rsid w:val="00F050BE"/>
    <w:rsid w:val="00F05916"/>
    <w:rsid w:val="00F0663A"/>
    <w:rsid w:val="00F06D22"/>
    <w:rsid w:val="00F06DAE"/>
    <w:rsid w:val="00F06FD9"/>
    <w:rsid w:val="00F070DC"/>
    <w:rsid w:val="00F072EB"/>
    <w:rsid w:val="00F077F7"/>
    <w:rsid w:val="00F1129F"/>
    <w:rsid w:val="00F11F02"/>
    <w:rsid w:val="00F12A6D"/>
    <w:rsid w:val="00F130DF"/>
    <w:rsid w:val="00F13925"/>
    <w:rsid w:val="00F13C75"/>
    <w:rsid w:val="00F13D3F"/>
    <w:rsid w:val="00F13E19"/>
    <w:rsid w:val="00F15092"/>
    <w:rsid w:val="00F15636"/>
    <w:rsid w:val="00F15DCF"/>
    <w:rsid w:val="00F160DF"/>
    <w:rsid w:val="00F1613B"/>
    <w:rsid w:val="00F162CE"/>
    <w:rsid w:val="00F165E7"/>
    <w:rsid w:val="00F168AE"/>
    <w:rsid w:val="00F17080"/>
    <w:rsid w:val="00F17DFD"/>
    <w:rsid w:val="00F20231"/>
    <w:rsid w:val="00F2024C"/>
    <w:rsid w:val="00F208F8"/>
    <w:rsid w:val="00F20A71"/>
    <w:rsid w:val="00F20CF2"/>
    <w:rsid w:val="00F20F3D"/>
    <w:rsid w:val="00F22125"/>
    <w:rsid w:val="00F22BCA"/>
    <w:rsid w:val="00F2306C"/>
    <w:rsid w:val="00F230DD"/>
    <w:rsid w:val="00F2317C"/>
    <w:rsid w:val="00F231A4"/>
    <w:rsid w:val="00F232FC"/>
    <w:rsid w:val="00F23589"/>
    <w:rsid w:val="00F23F7C"/>
    <w:rsid w:val="00F25183"/>
    <w:rsid w:val="00F2522C"/>
    <w:rsid w:val="00F255C7"/>
    <w:rsid w:val="00F2585F"/>
    <w:rsid w:val="00F25904"/>
    <w:rsid w:val="00F26392"/>
    <w:rsid w:val="00F26794"/>
    <w:rsid w:val="00F2687D"/>
    <w:rsid w:val="00F26C6E"/>
    <w:rsid w:val="00F275C6"/>
    <w:rsid w:val="00F2773E"/>
    <w:rsid w:val="00F27B34"/>
    <w:rsid w:val="00F300CE"/>
    <w:rsid w:val="00F3048D"/>
    <w:rsid w:val="00F31DDB"/>
    <w:rsid w:val="00F32083"/>
    <w:rsid w:val="00F3276E"/>
    <w:rsid w:val="00F328DC"/>
    <w:rsid w:val="00F333C0"/>
    <w:rsid w:val="00F34AA2"/>
    <w:rsid w:val="00F34B59"/>
    <w:rsid w:val="00F355B2"/>
    <w:rsid w:val="00F35710"/>
    <w:rsid w:val="00F35CC8"/>
    <w:rsid w:val="00F362B1"/>
    <w:rsid w:val="00F36881"/>
    <w:rsid w:val="00F374AA"/>
    <w:rsid w:val="00F37956"/>
    <w:rsid w:val="00F37C5F"/>
    <w:rsid w:val="00F40A17"/>
    <w:rsid w:val="00F4122A"/>
    <w:rsid w:val="00F417F2"/>
    <w:rsid w:val="00F423EA"/>
    <w:rsid w:val="00F42ED5"/>
    <w:rsid w:val="00F43048"/>
    <w:rsid w:val="00F43CDF"/>
    <w:rsid w:val="00F45772"/>
    <w:rsid w:val="00F45A2D"/>
    <w:rsid w:val="00F46786"/>
    <w:rsid w:val="00F47229"/>
    <w:rsid w:val="00F473A1"/>
    <w:rsid w:val="00F47526"/>
    <w:rsid w:val="00F47808"/>
    <w:rsid w:val="00F50729"/>
    <w:rsid w:val="00F5118A"/>
    <w:rsid w:val="00F5151A"/>
    <w:rsid w:val="00F51A43"/>
    <w:rsid w:val="00F51DBF"/>
    <w:rsid w:val="00F51E4B"/>
    <w:rsid w:val="00F522CD"/>
    <w:rsid w:val="00F52C63"/>
    <w:rsid w:val="00F52C70"/>
    <w:rsid w:val="00F52D83"/>
    <w:rsid w:val="00F52DE8"/>
    <w:rsid w:val="00F530EC"/>
    <w:rsid w:val="00F538B1"/>
    <w:rsid w:val="00F53A67"/>
    <w:rsid w:val="00F54D7E"/>
    <w:rsid w:val="00F563BC"/>
    <w:rsid w:val="00F5685D"/>
    <w:rsid w:val="00F56B99"/>
    <w:rsid w:val="00F56D6D"/>
    <w:rsid w:val="00F5705C"/>
    <w:rsid w:val="00F57243"/>
    <w:rsid w:val="00F574ED"/>
    <w:rsid w:val="00F57738"/>
    <w:rsid w:val="00F57ABA"/>
    <w:rsid w:val="00F6009A"/>
    <w:rsid w:val="00F61122"/>
    <w:rsid w:val="00F613A4"/>
    <w:rsid w:val="00F620F8"/>
    <w:rsid w:val="00F62249"/>
    <w:rsid w:val="00F62415"/>
    <w:rsid w:val="00F6249C"/>
    <w:rsid w:val="00F62680"/>
    <w:rsid w:val="00F63361"/>
    <w:rsid w:val="00F635EB"/>
    <w:rsid w:val="00F64EAB"/>
    <w:rsid w:val="00F650CF"/>
    <w:rsid w:val="00F65461"/>
    <w:rsid w:val="00F654FC"/>
    <w:rsid w:val="00F665FF"/>
    <w:rsid w:val="00F6664C"/>
    <w:rsid w:val="00F6671A"/>
    <w:rsid w:val="00F67623"/>
    <w:rsid w:val="00F6798F"/>
    <w:rsid w:val="00F67C96"/>
    <w:rsid w:val="00F7034A"/>
    <w:rsid w:val="00F70D1F"/>
    <w:rsid w:val="00F70F36"/>
    <w:rsid w:val="00F71786"/>
    <w:rsid w:val="00F721D6"/>
    <w:rsid w:val="00F72C9A"/>
    <w:rsid w:val="00F737B9"/>
    <w:rsid w:val="00F73C98"/>
    <w:rsid w:val="00F743E2"/>
    <w:rsid w:val="00F7516E"/>
    <w:rsid w:val="00F7522C"/>
    <w:rsid w:val="00F75FBA"/>
    <w:rsid w:val="00F7627D"/>
    <w:rsid w:val="00F76401"/>
    <w:rsid w:val="00F7696F"/>
    <w:rsid w:val="00F76C8A"/>
    <w:rsid w:val="00F7722D"/>
    <w:rsid w:val="00F777BD"/>
    <w:rsid w:val="00F80003"/>
    <w:rsid w:val="00F8001E"/>
    <w:rsid w:val="00F80051"/>
    <w:rsid w:val="00F802A3"/>
    <w:rsid w:val="00F8080E"/>
    <w:rsid w:val="00F8087F"/>
    <w:rsid w:val="00F810D3"/>
    <w:rsid w:val="00F81A3E"/>
    <w:rsid w:val="00F81E7A"/>
    <w:rsid w:val="00F83141"/>
    <w:rsid w:val="00F8318A"/>
    <w:rsid w:val="00F8397C"/>
    <w:rsid w:val="00F84697"/>
    <w:rsid w:val="00F846C0"/>
    <w:rsid w:val="00F8499B"/>
    <w:rsid w:val="00F84EBB"/>
    <w:rsid w:val="00F85088"/>
    <w:rsid w:val="00F85214"/>
    <w:rsid w:val="00F85279"/>
    <w:rsid w:val="00F852EE"/>
    <w:rsid w:val="00F86AE3"/>
    <w:rsid w:val="00F8768A"/>
    <w:rsid w:val="00F9006F"/>
    <w:rsid w:val="00F90178"/>
    <w:rsid w:val="00F907BD"/>
    <w:rsid w:val="00F90877"/>
    <w:rsid w:val="00F90DAB"/>
    <w:rsid w:val="00F91142"/>
    <w:rsid w:val="00F91480"/>
    <w:rsid w:val="00F91665"/>
    <w:rsid w:val="00F9172F"/>
    <w:rsid w:val="00F91D9A"/>
    <w:rsid w:val="00F9247D"/>
    <w:rsid w:val="00F92C12"/>
    <w:rsid w:val="00F92FB8"/>
    <w:rsid w:val="00F93015"/>
    <w:rsid w:val="00F93379"/>
    <w:rsid w:val="00F940D4"/>
    <w:rsid w:val="00F94446"/>
    <w:rsid w:val="00F944D1"/>
    <w:rsid w:val="00F948F1"/>
    <w:rsid w:val="00F94AC4"/>
    <w:rsid w:val="00F94BE3"/>
    <w:rsid w:val="00F94C30"/>
    <w:rsid w:val="00F95A45"/>
    <w:rsid w:val="00F96319"/>
    <w:rsid w:val="00F97E61"/>
    <w:rsid w:val="00FA072F"/>
    <w:rsid w:val="00FA0777"/>
    <w:rsid w:val="00FA1593"/>
    <w:rsid w:val="00FA202F"/>
    <w:rsid w:val="00FA2030"/>
    <w:rsid w:val="00FA2A2A"/>
    <w:rsid w:val="00FA31D7"/>
    <w:rsid w:val="00FA368E"/>
    <w:rsid w:val="00FA3E2E"/>
    <w:rsid w:val="00FA3E57"/>
    <w:rsid w:val="00FA4397"/>
    <w:rsid w:val="00FA5933"/>
    <w:rsid w:val="00FA6798"/>
    <w:rsid w:val="00FA7186"/>
    <w:rsid w:val="00FA77C8"/>
    <w:rsid w:val="00FA7B00"/>
    <w:rsid w:val="00FA7B9C"/>
    <w:rsid w:val="00FB1B41"/>
    <w:rsid w:val="00FB1BBA"/>
    <w:rsid w:val="00FB1EA6"/>
    <w:rsid w:val="00FB221A"/>
    <w:rsid w:val="00FB2F2A"/>
    <w:rsid w:val="00FB2FE2"/>
    <w:rsid w:val="00FB37C0"/>
    <w:rsid w:val="00FB4180"/>
    <w:rsid w:val="00FB4509"/>
    <w:rsid w:val="00FB5D85"/>
    <w:rsid w:val="00FB5EB6"/>
    <w:rsid w:val="00FB6262"/>
    <w:rsid w:val="00FB6A10"/>
    <w:rsid w:val="00FB6EFF"/>
    <w:rsid w:val="00FB728B"/>
    <w:rsid w:val="00FB7C8E"/>
    <w:rsid w:val="00FC0A19"/>
    <w:rsid w:val="00FC0A48"/>
    <w:rsid w:val="00FC0AF0"/>
    <w:rsid w:val="00FC0D3C"/>
    <w:rsid w:val="00FC127D"/>
    <w:rsid w:val="00FC1A45"/>
    <w:rsid w:val="00FC21A2"/>
    <w:rsid w:val="00FC3389"/>
    <w:rsid w:val="00FC37AE"/>
    <w:rsid w:val="00FC44CA"/>
    <w:rsid w:val="00FC4995"/>
    <w:rsid w:val="00FC4C95"/>
    <w:rsid w:val="00FC5125"/>
    <w:rsid w:val="00FC51AD"/>
    <w:rsid w:val="00FC609F"/>
    <w:rsid w:val="00FC6172"/>
    <w:rsid w:val="00FC61A3"/>
    <w:rsid w:val="00FC61FD"/>
    <w:rsid w:val="00FC68F1"/>
    <w:rsid w:val="00FD0574"/>
    <w:rsid w:val="00FD0FE3"/>
    <w:rsid w:val="00FD1424"/>
    <w:rsid w:val="00FD17B4"/>
    <w:rsid w:val="00FD2039"/>
    <w:rsid w:val="00FD2780"/>
    <w:rsid w:val="00FD2B10"/>
    <w:rsid w:val="00FD2E3F"/>
    <w:rsid w:val="00FD4FD0"/>
    <w:rsid w:val="00FD53EA"/>
    <w:rsid w:val="00FD5C0B"/>
    <w:rsid w:val="00FD5D30"/>
    <w:rsid w:val="00FD6019"/>
    <w:rsid w:val="00FD6060"/>
    <w:rsid w:val="00FD6347"/>
    <w:rsid w:val="00FD642C"/>
    <w:rsid w:val="00FD69AE"/>
    <w:rsid w:val="00FD7112"/>
    <w:rsid w:val="00FD745C"/>
    <w:rsid w:val="00FD79E5"/>
    <w:rsid w:val="00FE05BB"/>
    <w:rsid w:val="00FE192B"/>
    <w:rsid w:val="00FE210E"/>
    <w:rsid w:val="00FE22F6"/>
    <w:rsid w:val="00FE2B5A"/>
    <w:rsid w:val="00FE2FE7"/>
    <w:rsid w:val="00FE31B0"/>
    <w:rsid w:val="00FE419F"/>
    <w:rsid w:val="00FE45CC"/>
    <w:rsid w:val="00FE4883"/>
    <w:rsid w:val="00FE4E4D"/>
    <w:rsid w:val="00FE5700"/>
    <w:rsid w:val="00FE5BAC"/>
    <w:rsid w:val="00FE62EF"/>
    <w:rsid w:val="00FE6DCA"/>
    <w:rsid w:val="00FE6E09"/>
    <w:rsid w:val="00FE74B0"/>
    <w:rsid w:val="00FE76E6"/>
    <w:rsid w:val="00FE771D"/>
    <w:rsid w:val="00FE7F75"/>
    <w:rsid w:val="00FF0084"/>
    <w:rsid w:val="00FF03EA"/>
    <w:rsid w:val="00FF056B"/>
    <w:rsid w:val="00FF07B6"/>
    <w:rsid w:val="00FF0CF8"/>
    <w:rsid w:val="00FF0E7C"/>
    <w:rsid w:val="00FF1902"/>
    <w:rsid w:val="00FF1D7D"/>
    <w:rsid w:val="00FF20CE"/>
    <w:rsid w:val="00FF2406"/>
    <w:rsid w:val="00FF3433"/>
    <w:rsid w:val="00FF4212"/>
    <w:rsid w:val="00FF4A03"/>
    <w:rsid w:val="00FF4BDF"/>
    <w:rsid w:val="00FF4E15"/>
    <w:rsid w:val="00FF5ED6"/>
    <w:rsid w:val="00FF630F"/>
    <w:rsid w:val="00FF6362"/>
    <w:rsid w:val="00FF788C"/>
    <w:rsid w:val="00FF78ED"/>
    <w:rsid w:val="00FF7A41"/>
    <w:rsid w:val="012D6CBE"/>
    <w:rsid w:val="01482563"/>
    <w:rsid w:val="0150EE0E"/>
    <w:rsid w:val="01516119"/>
    <w:rsid w:val="015289AC"/>
    <w:rsid w:val="015C88B3"/>
    <w:rsid w:val="0167A24F"/>
    <w:rsid w:val="0199EE34"/>
    <w:rsid w:val="019B64A1"/>
    <w:rsid w:val="019D915B"/>
    <w:rsid w:val="01AC52FE"/>
    <w:rsid w:val="01B36336"/>
    <w:rsid w:val="01B78535"/>
    <w:rsid w:val="01EA614F"/>
    <w:rsid w:val="01F4A98A"/>
    <w:rsid w:val="0209D047"/>
    <w:rsid w:val="020E56C6"/>
    <w:rsid w:val="02128DC3"/>
    <w:rsid w:val="02130D77"/>
    <w:rsid w:val="023322D0"/>
    <w:rsid w:val="02604ACF"/>
    <w:rsid w:val="02744A3D"/>
    <w:rsid w:val="02876D70"/>
    <w:rsid w:val="02958C5E"/>
    <w:rsid w:val="029D38CE"/>
    <w:rsid w:val="02A7BA4C"/>
    <w:rsid w:val="02B834E5"/>
    <w:rsid w:val="02F839E3"/>
    <w:rsid w:val="0307261F"/>
    <w:rsid w:val="0312E96B"/>
    <w:rsid w:val="03188063"/>
    <w:rsid w:val="031E5FF8"/>
    <w:rsid w:val="03239063"/>
    <w:rsid w:val="03674813"/>
    <w:rsid w:val="0376F658"/>
    <w:rsid w:val="0377DDC9"/>
    <w:rsid w:val="038BD39B"/>
    <w:rsid w:val="0397BC85"/>
    <w:rsid w:val="03A701EE"/>
    <w:rsid w:val="03AF7315"/>
    <w:rsid w:val="03BBF0B1"/>
    <w:rsid w:val="03BCDE8A"/>
    <w:rsid w:val="03C98B55"/>
    <w:rsid w:val="03CA6CE2"/>
    <w:rsid w:val="03E3C379"/>
    <w:rsid w:val="03EA568A"/>
    <w:rsid w:val="03F8AB05"/>
    <w:rsid w:val="0401504C"/>
    <w:rsid w:val="04066801"/>
    <w:rsid w:val="040DB039"/>
    <w:rsid w:val="041721DA"/>
    <w:rsid w:val="041FE283"/>
    <w:rsid w:val="0450F0D8"/>
    <w:rsid w:val="0452FE9D"/>
    <w:rsid w:val="046F4B9F"/>
    <w:rsid w:val="047C6B59"/>
    <w:rsid w:val="047DEA66"/>
    <w:rsid w:val="048DC7BC"/>
    <w:rsid w:val="04A8C4B8"/>
    <w:rsid w:val="04B46249"/>
    <w:rsid w:val="04BCAA3C"/>
    <w:rsid w:val="04D50EF2"/>
    <w:rsid w:val="04EA5392"/>
    <w:rsid w:val="0513424F"/>
    <w:rsid w:val="05265D11"/>
    <w:rsid w:val="05318204"/>
    <w:rsid w:val="053A4F11"/>
    <w:rsid w:val="053ABB59"/>
    <w:rsid w:val="053B3EFB"/>
    <w:rsid w:val="05423627"/>
    <w:rsid w:val="054E3F3D"/>
    <w:rsid w:val="0577D5CA"/>
    <w:rsid w:val="0585C397"/>
    <w:rsid w:val="058A9465"/>
    <w:rsid w:val="05B57F32"/>
    <w:rsid w:val="05C68F3C"/>
    <w:rsid w:val="05CE2E8D"/>
    <w:rsid w:val="05D5CCE1"/>
    <w:rsid w:val="05ED351A"/>
    <w:rsid w:val="060AC844"/>
    <w:rsid w:val="0611D9A5"/>
    <w:rsid w:val="0617F52B"/>
    <w:rsid w:val="0632DAB6"/>
    <w:rsid w:val="06855F8E"/>
    <w:rsid w:val="0687E748"/>
    <w:rsid w:val="068A85DD"/>
    <w:rsid w:val="068D3803"/>
    <w:rsid w:val="068F28E9"/>
    <w:rsid w:val="06AA5CF7"/>
    <w:rsid w:val="06C1F662"/>
    <w:rsid w:val="06DC903A"/>
    <w:rsid w:val="06E66B29"/>
    <w:rsid w:val="06E7DD50"/>
    <w:rsid w:val="06E859AF"/>
    <w:rsid w:val="06E8F3B1"/>
    <w:rsid w:val="06E93C8B"/>
    <w:rsid w:val="06EC42C9"/>
    <w:rsid w:val="06EE2110"/>
    <w:rsid w:val="06EF5797"/>
    <w:rsid w:val="06F2C62B"/>
    <w:rsid w:val="06FA4EED"/>
    <w:rsid w:val="07062FD0"/>
    <w:rsid w:val="07136A19"/>
    <w:rsid w:val="0715282E"/>
    <w:rsid w:val="0716FB18"/>
    <w:rsid w:val="0725D5AF"/>
    <w:rsid w:val="0731C388"/>
    <w:rsid w:val="073D732E"/>
    <w:rsid w:val="073EA65A"/>
    <w:rsid w:val="073F8C70"/>
    <w:rsid w:val="074166F5"/>
    <w:rsid w:val="076EA21B"/>
    <w:rsid w:val="07817937"/>
    <w:rsid w:val="07934155"/>
    <w:rsid w:val="07A8B678"/>
    <w:rsid w:val="07BEE123"/>
    <w:rsid w:val="07C03266"/>
    <w:rsid w:val="07D80CD0"/>
    <w:rsid w:val="07E3CD24"/>
    <w:rsid w:val="07F241B3"/>
    <w:rsid w:val="07FE5C7A"/>
    <w:rsid w:val="082644DD"/>
    <w:rsid w:val="083BAFAC"/>
    <w:rsid w:val="084E5145"/>
    <w:rsid w:val="0851E64B"/>
    <w:rsid w:val="086352E9"/>
    <w:rsid w:val="086376D4"/>
    <w:rsid w:val="08654486"/>
    <w:rsid w:val="087F128D"/>
    <w:rsid w:val="088050DA"/>
    <w:rsid w:val="088AAAC2"/>
    <w:rsid w:val="08C21DA5"/>
    <w:rsid w:val="08C2D739"/>
    <w:rsid w:val="08FD973E"/>
    <w:rsid w:val="08FDADA2"/>
    <w:rsid w:val="0900A08A"/>
    <w:rsid w:val="09037107"/>
    <w:rsid w:val="090BA06B"/>
    <w:rsid w:val="09148CE9"/>
    <w:rsid w:val="09209F93"/>
    <w:rsid w:val="09247E3F"/>
    <w:rsid w:val="09527E0A"/>
    <w:rsid w:val="096E8110"/>
    <w:rsid w:val="0973822F"/>
    <w:rsid w:val="0973916A"/>
    <w:rsid w:val="0977C640"/>
    <w:rsid w:val="09984D73"/>
    <w:rsid w:val="09A77D93"/>
    <w:rsid w:val="09B206BD"/>
    <w:rsid w:val="09EE5DC5"/>
    <w:rsid w:val="09F126C3"/>
    <w:rsid w:val="09F621C0"/>
    <w:rsid w:val="09FE5EAF"/>
    <w:rsid w:val="0A10F225"/>
    <w:rsid w:val="0A13083B"/>
    <w:rsid w:val="0A1912D3"/>
    <w:rsid w:val="0A337BFE"/>
    <w:rsid w:val="0A357452"/>
    <w:rsid w:val="0A372886"/>
    <w:rsid w:val="0A3996B7"/>
    <w:rsid w:val="0A468542"/>
    <w:rsid w:val="0A4D185B"/>
    <w:rsid w:val="0A6CA7F8"/>
    <w:rsid w:val="0A7682E0"/>
    <w:rsid w:val="0A80144D"/>
    <w:rsid w:val="0A93F7E5"/>
    <w:rsid w:val="0AA83760"/>
    <w:rsid w:val="0AACBA12"/>
    <w:rsid w:val="0AB3840B"/>
    <w:rsid w:val="0AD01961"/>
    <w:rsid w:val="0AD065A5"/>
    <w:rsid w:val="0AD9D1C0"/>
    <w:rsid w:val="0AF4C619"/>
    <w:rsid w:val="0B08B516"/>
    <w:rsid w:val="0B10BDBC"/>
    <w:rsid w:val="0B163245"/>
    <w:rsid w:val="0B1E4C40"/>
    <w:rsid w:val="0B24F369"/>
    <w:rsid w:val="0B4C0FA1"/>
    <w:rsid w:val="0B4DE54C"/>
    <w:rsid w:val="0B50CFD6"/>
    <w:rsid w:val="0B64D4A0"/>
    <w:rsid w:val="0B74E9A0"/>
    <w:rsid w:val="0B8A6365"/>
    <w:rsid w:val="0B9F4C26"/>
    <w:rsid w:val="0BA4FB94"/>
    <w:rsid w:val="0BBB5E70"/>
    <w:rsid w:val="0BC736B5"/>
    <w:rsid w:val="0BD21F98"/>
    <w:rsid w:val="0BE9A9C7"/>
    <w:rsid w:val="0BF41548"/>
    <w:rsid w:val="0BF4699B"/>
    <w:rsid w:val="0BF77C36"/>
    <w:rsid w:val="0BFD1BD9"/>
    <w:rsid w:val="0C0D25B0"/>
    <w:rsid w:val="0C2A021F"/>
    <w:rsid w:val="0C2E85CC"/>
    <w:rsid w:val="0C476C6E"/>
    <w:rsid w:val="0C611B64"/>
    <w:rsid w:val="0C634A34"/>
    <w:rsid w:val="0C7661F0"/>
    <w:rsid w:val="0C8B3663"/>
    <w:rsid w:val="0C9FD5F6"/>
    <w:rsid w:val="0CAAD6A9"/>
    <w:rsid w:val="0CC8F7CF"/>
    <w:rsid w:val="0CC9FD20"/>
    <w:rsid w:val="0CD7F187"/>
    <w:rsid w:val="0CD9A77D"/>
    <w:rsid w:val="0CE37CA1"/>
    <w:rsid w:val="0CE934DB"/>
    <w:rsid w:val="0CE994CB"/>
    <w:rsid w:val="0CF7A37B"/>
    <w:rsid w:val="0D1610B2"/>
    <w:rsid w:val="0D1CDC25"/>
    <w:rsid w:val="0D304EF8"/>
    <w:rsid w:val="0D36D1BF"/>
    <w:rsid w:val="0D487981"/>
    <w:rsid w:val="0D567745"/>
    <w:rsid w:val="0D57B2FC"/>
    <w:rsid w:val="0D7D5524"/>
    <w:rsid w:val="0D917D4A"/>
    <w:rsid w:val="0DC5534F"/>
    <w:rsid w:val="0DE29A66"/>
    <w:rsid w:val="0DF3D03B"/>
    <w:rsid w:val="0DFEC825"/>
    <w:rsid w:val="0E0013C6"/>
    <w:rsid w:val="0E06986D"/>
    <w:rsid w:val="0E07E7F8"/>
    <w:rsid w:val="0E2401BE"/>
    <w:rsid w:val="0E3626DA"/>
    <w:rsid w:val="0E3E66D5"/>
    <w:rsid w:val="0E50E643"/>
    <w:rsid w:val="0E7053FA"/>
    <w:rsid w:val="0E78CFE0"/>
    <w:rsid w:val="0E84EDEE"/>
    <w:rsid w:val="0E8EAEBB"/>
    <w:rsid w:val="0EC4175F"/>
    <w:rsid w:val="0EDAD265"/>
    <w:rsid w:val="0F004A5F"/>
    <w:rsid w:val="0F008432"/>
    <w:rsid w:val="0F0320F0"/>
    <w:rsid w:val="0F1EAA44"/>
    <w:rsid w:val="0F3CC28C"/>
    <w:rsid w:val="0F4245D4"/>
    <w:rsid w:val="0F476B5C"/>
    <w:rsid w:val="0F58F8DB"/>
    <w:rsid w:val="0F64FF01"/>
    <w:rsid w:val="0F75271D"/>
    <w:rsid w:val="0FAD65C2"/>
    <w:rsid w:val="0FB0FADD"/>
    <w:rsid w:val="0FB15725"/>
    <w:rsid w:val="0FBF2BE5"/>
    <w:rsid w:val="0FC256F5"/>
    <w:rsid w:val="0FC5733A"/>
    <w:rsid w:val="0FCD512D"/>
    <w:rsid w:val="100A3B9D"/>
    <w:rsid w:val="1023A0DB"/>
    <w:rsid w:val="103FDDC3"/>
    <w:rsid w:val="105614BA"/>
    <w:rsid w:val="1057BBF4"/>
    <w:rsid w:val="1061DCE3"/>
    <w:rsid w:val="10638F49"/>
    <w:rsid w:val="10654F69"/>
    <w:rsid w:val="10693747"/>
    <w:rsid w:val="107FEB94"/>
    <w:rsid w:val="1093C7BA"/>
    <w:rsid w:val="10946792"/>
    <w:rsid w:val="10A70744"/>
    <w:rsid w:val="10AEFF4A"/>
    <w:rsid w:val="10CD54A0"/>
    <w:rsid w:val="10CD5776"/>
    <w:rsid w:val="10CE047C"/>
    <w:rsid w:val="10EA1212"/>
    <w:rsid w:val="111732F8"/>
    <w:rsid w:val="11186E8B"/>
    <w:rsid w:val="1126D7A9"/>
    <w:rsid w:val="11874371"/>
    <w:rsid w:val="119E135E"/>
    <w:rsid w:val="11B019C9"/>
    <w:rsid w:val="11B04416"/>
    <w:rsid w:val="11C48F6D"/>
    <w:rsid w:val="11F57F90"/>
    <w:rsid w:val="1200B9E9"/>
    <w:rsid w:val="1214C7E4"/>
    <w:rsid w:val="1216800F"/>
    <w:rsid w:val="121ACFD5"/>
    <w:rsid w:val="1220C3B2"/>
    <w:rsid w:val="1225CAA0"/>
    <w:rsid w:val="12AD12F4"/>
    <w:rsid w:val="12B580E2"/>
    <w:rsid w:val="12C3BA55"/>
    <w:rsid w:val="12C98CE7"/>
    <w:rsid w:val="12E1F58F"/>
    <w:rsid w:val="12E9EAB5"/>
    <w:rsid w:val="12F83434"/>
    <w:rsid w:val="13018C2F"/>
    <w:rsid w:val="131B37E0"/>
    <w:rsid w:val="133B0B48"/>
    <w:rsid w:val="1354DD3F"/>
    <w:rsid w:val="1357B667"/>
    <w:rsid w:val="135E065D"/>
    <w:rsid w:val="13711D7D"/>
    <w:rsid w:val="13AA2785"/>
    <w:rsid w:val="13AF0E9C"/>
    <w:rsid w:val="13B97860"/>
    <w:rsid w:val="13C4469D"/>
    <w:rsid w:val="13D029BD"/>
    <w:rsid w:val="13D8F51F"/>
    <w:rsid w:val="13E02E94"/>
    <w:rsid w:val="13EAB0CA"/>
    <w:rsid w:val="13F0A5AB"/>
    <w:rsid w:val="13FF3B60"/>
    <w:rsid w:val="14114779"/>
    <w:rsid w:val="14282E89"/>
    <w:rsid w:val="1428BF41"/>
    <w:rsid w:val="14296707"/>
    <w:rsid w:val="144B143E"/>
    <w:rsid w:val="1483E268"/>
    <w:rsid w:val="14BA4849"/>
    <w:rsid w:val="14D35F5F"/>
    <w:rsid w:val="14FDD597"/>
    <w:rsid w:val="150904D6"/>
    <w:rsid w:val="153D4C72"/>
    <w:rsid w:val="154C6C1F"/>
    <w:rsid w:val="15589C3E"/>
    <w:rsid w:val="15694A45"/>
    <w:rsid w:val="15728173"/>
    <w:rsid w:val="157365FE"/>
    <w:rsid w:val="158E6EB4"/>
    <w:rsid w:val="1594539B"/>
    <w:rsid w:val="159711DE"/>
    <w:rsid w:val="15BF325E"/>
    <w:rsid w:val="15CCD3C4"/>
    <w:rsid w:val="15E95A94"/>
    <w:rsid w:val="15FD5791"/>
    <w:rsid w:val="16028095"/>
    <w:rsid w:val="16105C44"/>
    <w:rsid w:val="163844C6"/>
    <w:rsid w:val="165F02DE"/>
    <w:rsid w:val="166C381D"/>
    <w:rsid w:val="167B5D22"/>
    <w:rsid w:val="16808918"/>
    <w:rsid w:val="16842E6B"/>
    <w:rsid w:val="169A11EA"/>
    <w:rsid w:val="16A732B2"/>
    <w:rsid w:val="16C6857C"/>
    <w:rsid w:val="16C9EA5E"/>
    <w:rsid w:val="16D4C621"/>
    <w:rsid w:val="16EAC48E"/>
    <w:rsid w:val="172A6C4A"/>
    <w:rsid w:val="172E3724"/>
    <w:rsid w:val="17446C00"/>
    <w:rsid w:val="176F8756"/>
    <w:rsid w:val="17837AA7"/>
    <w:rsid w:val="178B8483"/>
    <w:rsid w:val="17B24DE2"/>
    <w:rsid w:val="17B2D62A"/>
    <w:rsid w:val="17C5643B"/>
    <w:rsid w:val="17FAF080"/>
    <w:rsid w:val="180E7CBD"/>
    <w:rsid w:val="182622C4"/>
    <w:rsid w:val="182B3F41"/>
    <w:rsid w:val="184187D4"/>
    <w:rsid w:val="184F91DF"/>
    <w:rsid w:val="1873EF47"/>
    <w:rsid w:val="1893DA07"/>
    <w:rsid w:val="189A1196"/>
    <w:rsid w:val="18ADC0F2"/>
    <w:rsid w:val="18C0E549"/>
    <w:rsid w:val="18C89F55"/>
    <w:rsid w:val="18C928F2"/>
    <w:rsid w:val="18CA2096"/>
    <w:rsid w:val="18D63370"/>
    <w:rsid w:val="18E0782A"/>
    <w:rsid w:val="18FAF0A7"/>
    <w:rsid w:val="1900D472"/>
    <w:rsid w:val="191EC0E0"/>
    <w:rsid w:val="191F4FF7"/>
    <w:rsid w:val="192117D8"/>
    <w:rsid w:val="19239809"/>
    <w:rsid w:val="19245B25"/>
    <w:rsid w:val="19655A71"/>
    <w:rsid w:val="19786E59"/>
    <w:rsid w:val="197B4C68"/>
    <w:rsid w:val="1982E502"/>
    <w:rsid w:val="198F025B"/>
    <w:rsid w:val="19909DB6"/>
    <w:rsid w:val="1998C3AA"/>
    <w:rsid w:val="199970A0"/>
    <w:rsid w:val="19BF802B"/>
    <w:rsid w:val="19E18F2F"/>
    <w:rsid w:val="19EBCB3B"/>
    <w:rsid w:val="19EC9ADF"/>
    <w:rsid w:val="1A25136D"/>
    <w:rsid w:val="1A25DA51"/>
    <w:rsid w:val="1A305942"/>
    <w:rsid w:val="1A3E803A"/>
    <w:rsid w:val="1A3E8049"/>
    <w:rsid w:val="1A427353"/>
    <w:rsid w:val="1A71E5E9"/>
    <w:rsid w:val="1A8D4E53"/>
    <w:rsid w:val="1A999F34"/>
    <w:rsid w:val="1AA5A8BC"/>
    <w:rsid w:val="1AA90AA9"/>
    <w:rsid w:val="1AAAA436"/>
    <w:rsid w:val="1ADEAC67"/>
    <w:rsid w:val="1AE596B8"/>
    <w:rsid w:val="1B037622"/>
    <w:rsid w:val="1B0B7B40"/>
    <w:rsid w:val="1B27308E"/>
    <w:rsid w:val="1B2DF0AB"/>
    <w:rsid w:val="1B358167"/>
    <w:rsid w:val="1B435B65"/>
    <w:rsid w:val="1B517DDF"/>
    <w:rsid w:val="1B83B3F3"/>
    <w:rsid w:val="1B9273F1"/>
    <w:rsid w:val="1B96F048"/>
    <w:rsid w:val="1BA69781"/>
    <w:rsid w:val="1BB1E7F8"/>
    <w:rsid w:val="1BBB91ED"/>
    <w:rsid w:val="1BCFD35F"/>
    <w:rsid w:val="1BE5B1C7"/>
    <w:rsid w:val="1BE6D753"/>
    <w:rsid w:val="1BFCEE4E"/>
    <w:rsid w:val="1BFEF028"/>
    <w:rsid w:val="1C0C4243"/>
    <w:rsid w:val="1C1588E1"/>
    <w:rsid w:val="1C19034B"/>
    <w:rsid w:val="1C2B965D"/>
    <w:rsid w:val="1C2C84BB"/>
    <w:rsid w:val="1C452EB8"/>
    <w:rsid w:val="1C465E30"/>
    <w:rsid w:val="1C57FC44"/>
    <w:rsid w:val="1C8DF3C9"/>
    <w:rsid w:val="1C8E3C20"/>
    <w:rsid w:val="1CA3D25C"/>
    <w:rsid w:val="1CA5E901"/>
    <w:rsid w:val="1CA901C0"/>
    <w:rsid w:val="1CBFB2CD"/>
    <w:rsid w:val="1CE22DCE"/>
    <w:rsid w:val="1CF3BB71"/>
    <w:rsid w:val="1D167F50"/>
    <w:rsid w:val="1D256D2E"/>
    <w:rsid w:val="1D277B57"/>
    <w:rsid w:val="1D2895EB"/>
    <w:rsid w:val="1D3CC218"/>
    <w:rsid w:val="1D3D98D2"/>
    <w:rsid w:val="1D4A57C9"/>
    <w:rsid w:val="1D569519"/>
    <w:rsid w:val="1D6EBBDC"/>
    <w:rsid w:val="1D71F123"/>
    <w:rsid w:val="1D7C955B"/>
    <w:rsid w:val="1D7DEE59"/>
    <w:rsid w:val="1D93D210"/>
    <w:rsid w:val="1DA62DA7"/>
    <w:rsid w:val="1DA9DDA1"/>
    <w:rsid w:val="1DAC3329"/>
    <w:rsid w:val="1DBA3CBD"/>
    <w:rsid w:val="1DC16BC6"/>
    <w:rsid w:val="1DD952A3"/>
    <w:rsid w:val="1DD97D5F"/>
    <w:rsid w:val="1DF1E511"/>
    <w:rsid w:val="1E0E08CA"/>
    <w:rsid w:val="1E3BA663"/>
    <w:rsid w:val="1E42FBA3"/>
    <w:rsid w:val="1E49E1E8"/>
    <w:rsid w:val="1E590287"/>
    <w:rsid w:val="1E730B31"/>
    <w:rsid w:val="1E9AC782"/>
    <w:rsid w:val="1E9FCF99"/>
    <w:rsid w:val="1EC8D4EF"/>
    <w:rsid w:val="1EDF6A2C"/>
    <w:rsid w:val="1EFC0D9B"/>
    <w:rsid w:val="1F031799"/>
    <w:rsid w:val="1F210628"/>
    <w:rsid w:val="1F5BFE24"/>
    <w:rsid w:val="1F722B9E"/>
    <w:rsid w:val="1FAD2C69"/>
    <w:rsid w:val="1FAEACE0"/>
    <w:rsid w:val="1FB19269"/>
    <w:rsid w:val="1FBA3EAC"/>
    <w:rsid w:val="1FC04A33"/>
    <w:rsid w:val="1FD870E3"/>
    <w:rsid w:val="1FECD23F"/>
    <w:rsid w:val="1FF7C0D8"/>
    <w:rsid w:val="1FF87CF7"/>
    <w:rsid w:val="1FFEDC6F"/>
    <w:rsid w:val="1FFFE15A"/>
    <w:rsid w:val="2004BCD9"/>
    <w:rsid w:val="20128184"/>
    <w:rsid w:val="201FDF58"/>
    <w:rsid w:val="20272E82"/>
    <w:rsid w:val="205C211F"/>
    <w:rsid w:val="205FF1C4"/>
    <w:rsid w:val="20814981"/>
    <w:rsid w:val="208340B8"/>
    <w:rsid w:val="2087D9CD"/>
    <w:rsid w:val="2088EA43"/>
    <w:rsid w:val="208908D8"/>
    <w:rsid w:val="20BFE9ED"/>
    <w:rsid w:val="20D67674"/>
    <w:rsid w:val="20F49885"/>
    <w:rsid w:val="20FEBA18"/>
    <w:rsid w:val="21075A8B"/>
    <w:rsid w:val="211921CC"/>
    <w:rsid w:val="211D3C46"/>
    <w:rsid w:val="212A803D"/>
    <w:rsid w:val="213711F6"/>
    <w:rsid w:val="21490B44"/>
    <w:rsid w:val="2196EB73"/>
    <w:rsid w:val="21AD2714"/>
    <w:rsid w:val="21C15D31"/>
    <w:rsid w:val="2205982C"/>
    <w:rsid w:val="2205B8B1"/>
    <w:rsid w:val="220BBC8E"/>
    <w:rsid w:val="220FB831"/>
    <w:rsid w:val="2220DA50"/>
    <w:rsid w:val="22218FE5"/>
    <w:rsid w:val="222F87B2"/>
    <w:rsid w:val="22425D85"/>
    <w:rsid w:val="22492EB6"/>
    <w:rsid w:val="224D922A"/>
    <w:rsid w:val="224E3C6C"/>
    <w:rsid w:val="22584AE1"/>
    <w:rsid w:val="22629C79"/>
    <w:rsid w:val="227947B0"/>
    <w:rsid w:val="229E4BBC"/>
    <w:rsid w:val="229EFFC9"/>
    <w:rsid w:val="22B09323"/>
    <w:rsid w:val="22B0F166"/>
    <w:rsid w:val="22C047E0"/>
    <w:rsid w:val="22C8C582"/>
    <w:rsid w:val="22CF8B80"/>
    <w:rsid w:val="22E5A464"/>
    <w:rsid w:val="22FC8C30"/>
    <w:rsid w:val="23035F9C"/>
    <w:rsid w:val="231E0E62"/>
    <w:rsid w:val="23247624"/>
    <w:rsid w:val="232526FE"/>
    <w:rsid w:val="235B405C"/>
    <w:rsid w:val="235B90CD"/>
    <w:rsid w:val="236225D0"/>
    <w:rsid w:val="237AA025"/>
    <w:rsid w:val="237BAA59"/>
    <w:rsid w:val="2380619C"/>
    <w:rsid w:val="239400DE"/>
    <w:rsid w:val="23AC64D5"/>
    <w:rsid w:val="23B1E44C"/>
    <w:rsid w:val="23BF0BD4"/>
    <w:rsid w:val="23DC3468"/>
    <w:rsid w:val="23E64E8B"/>
    <w:rsid w:val="23E9332F"/>
    <w:rsid w:val="23ED56AE"/>
    <w:rsid w:val="240F2579"/>
    <w:rsid w:val="242193C3"/>
    <w:rsid w:val="2432E725"/>
    <w:rsid w:val="243C5CB0"/>
    <w:rsid w:val="244ECE80"/>
    <w:rsid w:val="244F0AF7"/>
    <w:rsid w:val="247A41AC"/>
    <w:rsid w:val="247B4E5E"/>
    <w:rsid w:val="2482B01A"/>
    <w:rsid w:val="2486996B"/>
    <w:rsid w:val="249245F8"/>
    <w:rsid w:val="249DCC47"/>
    <w:rsid w:val="24A8F6F8"/>
    <w:rsid w:val="24A963EE"/>
    <w:rsid w:val="24BC0367"/>
    <w:rsid w:val="24DD947D"/>
    <w:rsid w:val="24ECC86F"/>
    <w:rsid w:val="24F3E541"/>
    <w:rsid w:val="24F70492"/>
    <w:rsid w:val="250B2275"/>
    <w:rsid w:val="2530C107"/>
    <w:rsid w:val="25352915"/>
    <w:rsid w:val="253A20ED"/>
    <w:rsid w:val="255A0D77"/>
    <w:rsid w:val="2564F74A"/>
    <w:rsid w:val="258A3E8D"/>
    <w:rsid w:val="259C1F2E"/>
    <w:rsid w:val="25C80590"/>
    <w:rsid w:val="25C82672"/>
    <w:rsid w:val="260183A1"/>
    <w:rsid w:val="260B0281"/>
    <w:rsid w:val="260B9630"/>
    <w:rsid w:val="2625A95D"/>
    <w:rsid w:val="26281D94"/>
    <w:rsid w:val="26416F14"/>
    <w:rsid w:val="2665343F"/>
    <w:rsid w:val="267DABE3"/>
    <w:rsid w:val="267E376D"/>
    <w:rsid w:val="2695F6A1"/>
    <w:rsid w:val="269CF621"/>
    <w:rsid w:val="26A88B9F"/>
    <w:rsid w:val="26C5385C"/>
    <w:rsid w:val="26D2804B"/>
    <w:rsid w:val="26D82BDD"/>
    <w:rsid w:val="26E05A59"/>
    <w:rsid w:val="26E3831F"/>
    <w:rsid w:val="26FCBABD"/>
    <w:rsid w:val="271172AE"/>
    <w:rsid w:val="2719EC53"/>
    <w:rsid w:val="2723AF42"/>
    <w:rsid w:val="272A374E"/>
    <w:rsid w:val="272D5DC7"/>
    <w:rsid w:val="273073C4"/>
    <w:rsid w:val="27311168"/>
    <w:rsid w:val="2736B2EC"/>
    <w:rsid w:val="274A7EF5"/>
    <w:rsid w:val="27647D10"/>
    <w:rsid w:val="276A1BBC"/>
    <w:rsid w:val="276B0D8A"/>
    <w:rsid w:val="2778CF55"/>
    <w:rsid w:val="2781E924"/>
    <w:rsid w:val="279DEEEE"/>
    <w:rsid w:val="27A2BB0C"/>
    <w:rsid w:val="27B55020"/>
    <w:rsid w:val="27C0C2FB"/>
    <w:rsid w:val="27C65BF0"/>
    <w:rsid w:val="28172459"/>
    <w:rsid w:val="2828E176"/>
    <w:rsid w:val="282CD6EF"/>
    <w:rsid w:val="28537902"/>
    <w:rsid w:val="28690404"/>
    <w:rsid w:val="286F8E20"/>
    <w:rsid w:val="286FBA8A"/>
    <w:rsid w:val="2873175D"/>
    <w:rsid w:val="2896C9F0"/>
    <w:rsid w:val="289B6078"/>
    <w:rsid w:val="28BA3DDE"/>
    <w:rsid w:val="28BEEB09"/>
    <w:rsid w:val="28C58345"/>
    <w:rsid w:val="28DF6897"/>
    <w:rsid w:val="28F156DC"/>
    <w:rsid w:val="28F66D1A"/>
    <w:rsid w:val="2907F586"/>
    <w:rsid w:val="29534463"/>
    <w:rsid w:val="29567B79"/>
    <w:rsid w:val="295821C0"/>
    <w:rsid w:val="295C7AD8"/>
    <w:rsid w:val="295D3CAC"/>
    <w:rsid w:val="2983FE06"/>
    <w:rsid w:val="29B2D1C2"/>
    <w:rsid w:val="29B98CF7"/>
    <w:rsid w:val="29BE8B4B"/>
    <w:rsid w:val="29C1928C"/>
    <w:rsid w:val="29C5CA20"/>
    <w:rsid w:val="29C8085F"/>
    <w:rsid w:val="29D58733"/>
    <w:rsid w:val="29EFF904"/>
    <w:rsid w:val="29F43754"/>
    <w:rsid w:val="2A1F6AAC"/>
    <w:rsid w:val="2A27EB08"/>
    <w:rsid w:val="2A5673FF"/>
    <w:rsid w:val="2A59EE9E"/>
    <w:rsid w:val="2A5CFC4F"/>
    <w:rsid w:val="2A67668A"/>
    <w:rsid w:val="2A6CDBEC"/>
    <w:rsid w:val="2A7E8802"/>
    <w:rsid w:val="2A828358"/>
    <w:rsid w:val="2A8BB6FB"/>
    <w:rsid w:val="2A94A606"/>
    <w:rsid w:val="2AA5C3C4"/>
    <w:rsid w:val="2ABAB951"/>
    <w:rsid w:val="2ABFAC3E"/>
    <w:rsid w:val="2AD7D00E"/>
    <w:rsid w:val="2AE333E8"/>
    <w:rsid w:val="2AE54A09"/>
    <w:rsid w:val="2AFA68C6"/>
    <w:rsid w:val="2B05E9B8"/>
    <w:rsid w:val="2B319C77"/>
    <w:rsid w:val="2B42DD65"/>
    <w:rsid w:val="2B5138AE"/>
    <w:rsid w:val="2B71F507"/>
    <w:rsid w:val="2BC185D2"/>
    <w:rsid w:val="2BE0EB26"/>
    <w:rsid w:val="2BE43A1A"/>
    <w:rsid w:val="2BF6DF2A"/>
    <w:rsid w:val="2C17EF33"/>
    <w:rsid w:val="2C269744"/>
    <w:rsid w:val="2C6062C1"/>
    <w:rsid w:val="2C60DD07"/>
    <w:rsid w:val="2C76756C"/>
    <w:rsid w:val="2C767EC8"/>
    <w:rsid w:val="2C84DD8C"/>
    <w:rsid w:val="2CA866EF"/>
    <w:rsid w:val="2CB36F51"/>
    <w:rsid w:val="2CB62DF9"/>
    <w:rsid w:val="2CD7D68D"/>
    <w:rsid w:val="2D14043D"/>
    <w:rsid w:val="2D21E1AD"/>
    <w:rsid w:val="2D241276"/>
    <w:rsid w:val="2D34D7CD"/>
    <w:rsid w:val="2D49FEAE"/>
    <w:rsid w:val="2D6F70E9"/>
    <w:rsid w:val="2D9682A8"/>
    <w:rsid w:val="2DAE358B"/>
    <w:rsid w:val="2DB278B0"/>
    <w:rsid w:val="2DC151E2"/>
    <w:rsid w:val="2DE6F195"/>
    <w:rsid w:val="2DF96218"/>
    <w:rsid w:val="2E065099"/>
    <w:rsid w:val="2E0E2F58"/>
    <w:rsid w:val="2E1186F0"/>
    <w:rsid w:val="2E1FC808"/>
    <w:rsid w:val="2E378A3D"/>
    <w:rsid w:val="2E42CA1E"/>
    <w:rsid w:val="2E4D7E97"/>
    <w:rsid w:val="2E552572"/>
    <w:rsid w:val="2E7C1B93"/>
    <w:rsid w:val="2E83A3DD"/>
    <w:rsid w:val="2E8A0DA2"/>
    <w:rsid w:val="2E8F2DBA"/>
    <w:rsid w:val="2E9A4B16"/>
    <w:rsid w:val="2EBD3505"/>
    <w:rsid w:val="2EC26623"/>
    <w:rsid w:val="2ED06DE6"/>
    <w:rsid w:val="2ED110AE"/>
    <w:rsid w:val="2EDD0C19"/>
    <w:rsid w:val="2EE156D7"/>
    <w:rsid w:val="2EEA3FBB"/>
    <w:rsid w:val="2EECACF0"/>
    <w:rsid w:val="2F006DD1"/>
    <w:rsid w:val="2F0A6115"/>
    <w:rsid w:val="2F25A067"/>
    <w:rsid w:val="2F523120"/>
    <w:rsid w:val="2F835CA2"/>
    <w:rsid w:val="2F9CF818"/>
    <w:rsid w:val="2F9D67C1"/>
    <w:rsid w:val="2FB7FF2B"/>
    <w:rsid w:val="2FCF17AD"/>
    <w:rsid w:val="2FD81685"/>
    <w:rsid w:val="2FD9465D"/>
    <w:rsid w:val="2FEBA17C"/>
    <w:rsid w:val="2FEDF54A"/>
    <w:rsid w:val="2FF0C224"/>
    <w:rsid w:val="2FF117FF"/>
    <w:rsid w:val="301C477E"/>
    <w:rsid w:val="303604D5"/>
    <w:rsid w:val="303C183F"/>
    <w:rsid w:val="3061DD20"/>
    <w:rsid w:val="30929663"/>
    <w:rsid w:val="30AADABB"/>
    <w:rsid w:val="30B27C3B"/>
    <w:rsid w:val="30DEA6E6"/>
    <w:rsid w:val="30EE2AB0"/>
    <w:rsid w:val="30FD1E73"/>
    <w:rsid w:val="310E9CBC"/>
    <w:rsid w:val="31164A8D"/>
    <w:rsid w:val="3118F11E"/>
    <w:rsid w:val="31395AAA"/>
    <w:rsid w:val="313AD547"/>
    <w:rsid w:val="313DC23F"/>
    <w:rsid w:val="314A68D9"/>
    <w:rsid w:val="3155C069"/>
    <w:rsid w:val="3166F429"/>
    <w:rsid w:val="3178FCBC"/>
    <w:rsid w:val="318E93F4"/>
    <w:rsid w:val="3192D4A7"/>
    <w:rsid w:val="31CA6F04"/>
    <w:rsid w:val="31D012F5"/>
    <w:rsid w:val="31D8C315"/>
    <w:rsid w:val="31E4E1AC"/>
    <w:rsid w:val="31E6DB5E"/>
    <w:rsid w:val="31F9ABAC"/>
    <w:rsid w:val="31FCA2E1"/>
    <w:rsid w:val="32173374"/>
    <w:rsid w:val="321DD5DD"/>
    <w:rsid w:val="322D7DA0"/>
    <w:rsid w:val="3233ED4F"/>
    <w:rsid w:val="32362EBA"/>
    <w:rsid w:val="32487923"/>
    <w:rsid w:val="32548711"/>
    <w:rsid w:val="3257486C"/>
    <w:rsid w:val="32722065"/>
    <w:rsid w:val="32AF4BAB"/>
    <w:rsid w:val="32B11178"/>
    <w:rsid w:val="32DA313A"/>
    <w:rsid w:val="32EBD3AF"/>
    <w:rsid w:val="32EF3C4C"/>
    <w:rsid w:val="33118CCD"/>
    <w:rsid w:val="33142E72"/>
    <w:rsid w:val="331D52B1"/>
    <w:rsid w:val="33212498"/>
    <w:rsid w:val="33235D75"/>
    <w:rsid w:val="3325EBA4"/>
    <w:rsid w:val="33276C4F"/>
    <w:rsid w:val="332AAD61"/>
    <w:rsid w:val="333424C6"/>
    <w:rsid w:val="336581D2"/>
    <w:rsid w:val="336C6EC4"/>
    <w:rsid w:val="339838F0"/>
    <w:rsid w:val="33A70242"/>
    <w:rsid w:val="33A9E0A6"/>
    <w:rsid w:val="33C2228B"/>
    <w:rsid w:val="33E363E4"/>
    <w:rsid w:val="33EC78E1"/>
    <w:rsid w:val="33FD4F60"/>
    <w:rsid w:val="341314DD"/>
    <w:rsid w:val="34260A33"/>
    <w:rsid w:val="342CBDA5"/>
    <w:rsid w:val="342E9A06"/>
    <w:rsid w:val="34304388"/>
    <w:rsid w:val="343408E0"/>
    <w:rsid w:val="343C9844"/>
    <w:rsid w:val="34478BE7"/>
    <w:rsid w:val="346A968A"/>
    <w:rsid w:val="3473E0B0"/>
    <w:rsid w:val="34897844"/>
    <w:rsid w:val="348B08D7"/>
    <w:rsid w:val="3493BFE2"/>
    <w:rsid w:val="3498DE0C"/>
    <w:rsid w:val="349AD4AE"/>
    <w:rsid w:val="34A6BCD3"/>
    <w:rsid w:val="34A6FB38"/>
    <w:rsid w:val="34BA32B7"/>
    <w:rsid w:val="35016906"/>
    <w:rsid w:val="35059148"/>
    <w:rsid w:val="3509CFF8"/>
    <w:rsid w:val="351D250E"/>
    <w:rsid w:val="3531A33E"/>
    <w:rsid w:val="35377B22"/>
    <w:rsid w:val="353BA0E7"/>
    <w:rsid w:val="353D4361"/>
    <w:rsid w:val="353D9FB6"/>
    <w:rsid w:val="3540E522"/>
    <w:rsid w:val="3545F5A6"/>
    <w:rsid w:val="3546E1EF"/>
    <w:rsid w:val="3551891F"/>
    <w:rsid w:val="3551D3B6"/>
    <w:rsid w:val="35602D32"/>
    <w:rsid w:val="3565C91F"/>
    <w:rsid w:val="357E2B99"/>
    <w:rsid w:val="35824807"/>
    <w:rsid w:val="3597DE58"/>
    <w:rsid w:val="359E0C75"/>
    <w:rsid w:val="35B029FB"/>
    <w:rsid w:val="35C79DC5"/>
    <w:rsid w:val="35CBAB75"/>
    <w:rsid w:val="35E3426D"/>
    <w:rsid w:val="35E39954"/>
    <w:rsid w:val="35E96073"/>
    <w:rsid w:val="35F33432"/>
    <w:rsid w:val="3609B5E9"/>
    <w:rsid w:val="361684BA"/>
    <w:rsid w:val="361E7128"/>
    <w:rsid w:val="3622000B"/>
    <w:rsid w:val="362F3A0D"/>
    <w:rsid w:val="36363274"/>
    <w:rsid w:val="365A7EF4"/>
    <w:rsid w:val="36737CD7"/>
    <w:rsid w:val="369395AB"/>
    <w:rsid w:val="36EE6D69"/>
    <w:rsid w:val="36F2F727"/>
    <w:rsid w:val="3704772B"/>
    <w:rsid w:val="3704FFD9"/>
    <w:rsid w:val="372B274B"/>
    <w:rsid w:val="372DF745"/>
    <w:rsid w:val="374CF3FF"/>
    <w:rsid w:val="375EB7F8"/>
    <w:rsid w:val="37693504"/>
    <w:rsid w:val="376B147A"/>
    <w:rsid w:val="37812BDD"/>
    <w:rsid w:val="37900F5C"/>
    <w:rsid w:val="3792F108"/>
    <w:rsid w:val="37A86562"/>
    <w:rsid w:val="37BB05FE"/>
    <w:rsid w:val="37D49057"/>
    <w:rsid w:val="37F22C0C"/>
    <w:rsid w:val="38100E31"/>
    <w:rsid w:val="384F4ACD"/>
    <w:rsid w:val="386AE227"/>
    <w:rsid w:val="386F908E"/>
    <w:rsid w:val="38777C17"/>
    <w:rsid w:val="388A0CA5"/>
    <w:rsid w:val="389CA83B"/>
    <w:rsid w:val="38B13579"/>
    <w:rsid w:val="38DAFC3F"/>
    <w:rsid w:val="38DD86B6"/>
    <w:rsid w:val="38DDBFFE"/>
    <w:rsid w:val="38E6C549"/>
    <w:rsid w:val="38FBCFCA"/>
    <w:rsid w:val="38FCDDBA"/>
    <w:rsid w:val="38FEFC6A"/>
    <w:rsid w:val="3902B350"/>
    <w:rsid w:val="390F08A5"/>
    <w:rsid w:val="390F7A85"/>
    <w:rsid w:val="392E6ECE"/>
    <w:rsid w:val="393F0D91"/>
    <w:rsid w:val="395A4B4A"/>
    <w:rsid w:val="397597CA"/>
    <w:rsid w:val="3986B318"/>
    <w:rsid w:val="39A14405"/>
    <w:rsid w:val="39AF9100"/>
    <w:rsid w:val="39C291FB"/>
    <w:rsid w:val="39CD4A88"/>
    <w:rsid w:val="39D20C96"/>
    <w:rsid w:val="39DBD38B"/>
    <w:rsid w:val="39E77B9E"/>
    <w:rsid w:val="39F889B5"/>
    <w:rsid w:val="39F90B79"/>
    <w:rsid w:val="3A034C50"/>
    <w:rsid w:val="3A041BA8"/>
    <w:rsid w:val="3A14FBD3"/>
    <w:rsid w:val="3A1913EF"/>
    <w:rsid w:val="3A20FD77"/>
    <w:rsid w:val="3A22B355"/>
    <w:rsid w:val="3A25B552"/>
    <w:rsid w:val="3A54E4B4"/>
    <w:rsid w:val="3A55F2A0"/>
    <w:rsid w:val="3A60CDCD"/>
    <w:rsid w:val="3A7B0DFD"/>
    <w:rsid w:val="3A99F2AD"/>
    <w:rsid w:val="3A9A5AAB"/>
    <w:rsid w:val="3AA076F0"/>
    <w:rsid w:val="3AAD6F7B"/>
    <w:rsid w:val="3AB9D2A0"/>
    <w:rsid w:val="3ACC4B24"/>
    <w:rsid w:val="3AF850C3"/>
    <w:rsid w:val="3B1F47B7"/>
    <w:rsid w:val="3B34BD30"/>
    <w:rsid w:val="3B5033E5"/>
    <w:rsid w:val="3B6D6EEB"/>
    <w:rsid w:val="3B9A0959"/>
    <w:rsid w:val="3BA03BE8"/>
    <w:rsid w:val="3BA53F6E"/>
    <w:rsid w:val="3BB0C33E"/>
    <w:rsid w:val="3BC3C495"/>
    <w:rsid w:val="3BC57221"/>
    <w:rsid w:val="3BD38E0F"/>
    <w:rsid w:val="3BDA9BFA"/>
    <w:rsid w:val="3BDBB56E"/>
    <w:rsid w:val="3C07F1E1"/>
    <w:rsid w:val="3C1CC4D2"/>
    <w:rsid w:val="3C1D4FC7"/>
    <w:rsid w:val="3C1DCE96"/>
    <w:rsid w:val="3C293891"/>
    <w:rsid w:val="3C346E96"/>
    <w:rsid w:val="3C51C5C5"/>
    <w:rsid w:val="3C53CEB4"/>
    <w:rsid w:val="3C5A8116"/>
    <w:rsid w:val="3C5EC61F"/>
    <w:rsid w:val="3C769A4D"/>
    <w:rsid w:val="3C789497"/>
    <w:rsid w:val="3C8810C6"/>
    <w:rsid w:val="3CA58316"/>
    <w:rsid w:val="3CD96922"/>
    <w:rsid w:val="3CE9138A"/>
    <w:rsid w:val="3D17F727"/>
    <w:rsid w:val="3D41CDBA"/>
    <w:rsid w:val="3D5BAC1F"/>
    <w:rsid w:val="3D5C7F6A"/>
    <w:rsid w:val="3D6D0D41"/>
    <w:rsid w:val="3D704082"/>
    <w:rsid w:val="3D75C206"/>
    <w:rsid w:val="3D778F4F"/>
    <w:rsid w:val="3D7D1EB3"/>
    <w:rsid w:val="3DB5340A"/>
    <w:rsid w:val="3DC96FD0"/>
    <w:rsid w:val="3DDDF6FE"/>
    <w:rsid w:val="3DF107CC"/>
    <w:rsid w:val="3DFA0DE0"/>
    <w:rsid w:val="3DFD606C"/>
    <w:rsid w:val="3E00E549"/>
    <w:rsid w:val="3E0DC789"/>
    <w:rsid w:val="3E0EF359"/>
    <w:rsid w:val="3E21A930"/>
    <w:rsid w:val="3E222BCD"/>
    <w:rsid w:val="3E2A340C"/>
    <w:rsid w:val="3E41A1A6"/>
    <w:rsid w:val="3E7B0258"/>
    <w:rsid w:val="3E93B95D"/>
    <w:rsid w:val="3E9691F3"/>
    <w:rsid w:val="3E993D2D"/>
    <w:rsid w:val="3EAAA49F"/>
    <w:rsid w:val="3EBCE38F"/>
    <w:rsid w:val="3ECE87A5"/>
    <w:rsid w:val="3EE41C98"/>
    <w:rsid w:val="3EEC511F"/>
    <w:rsid w:val="3EED22FA"/>
    <w:rsid w:val="3EF63E29"/>
    <w:rsid w:val="3EFE7AB2"/>
    <w:rsid w:val="3F011584"/>
    <w:rsid w:val="3F1C3E8C"/>
    <w:rsid w:val="3F1DB2A4"/>
    <w:rsid w:val="3F289045"/>
    <w:rsid w:val="3F42CA0E"/>
    <w:rsid w:val="3F4D2507"/>
    <w:rsid w:val="3F4F45AE"/>
    <w:rsid w:val="3F6CEF9D"/>
    <w:rsid w:val="3F9F5167"/>
    <w:rsid w:val="3FCDB3CE"/>
    <w:rsid w:val="3FEA6F7A"/>
    <w:rsid w:val="400CCA1B"/>
    <w:rsid w:val="401A2BFF"/>
    <w:rsid w:val="401CA483"/>
    <w:rsid w:val="4020122D"/>
    <w:rsid w:val="4026D72B"/>
    <w:rsid w:val="40288A05"/>
    <w:rsid w:val="40297B7F"/>
    <w:rsid w:val="4029961B"/>
    <w:rsid w:val="403F1186"/>
    <w:rsid w:val="406A6B6E"/>
    <w:rsid w:val="40A2B18B"/>
    <w:rsid w:val="40AE2ADD"/>
    <w:rsid w:val="40AE95D2"/>
    <w:rsid w:val="40B2E6B8"/>
    <w:rsid w:val="40BE7DEB"/>
    <w:rsid w:val="40E00C41"/>
    <w:rsid w:val="40ED314A"/>
    <w:rsid w:val="40EF5B96"/>
    <w:rsid w:val="40EFCD8F"/>
    <w:rsid w:val="40FBF476"/>
    <w:rsid w:val="40FD6F99"/>
    <w:rsid w:val="40FF7DA9"/>
    <w:rsid w:val="41049255"/>
    <w:rsid w:val="41051146"/>
    <w:rsid w:val="41106AE9"/>
    <w:rsid w:val="41155CA5"/>
    <w:rsid w:val="4116AAFA"/>
    <w:rsid w:val="412222DC"/>
    <w:rsid w:val="41280DEF"/>
    <w:rsid w:val="41302F7B"/>
    <w:rsid w:val="414205BE"/>
    <w:rsid w:val="415D7C68"/>
    <w:rsid w:val="418015FD"/>
    <w:rsid w:val="41AEBE35"/>
    <w:rsid w:val="41E2B625"/>
    <w:rsid w:val="41E5FB19"/>
    <w:rsid w:val="41E74B03"/>
    <w:rsid w:val="41ECB9B4"/>
    <w:rsid w:val="42182B4C"/>
    <w:rsid w:val="4229BCEB"/>
    <w:rsid w:val="422A2A7D"/>
    <w:rsid w:val="4252FF16"/>
    <w:rsid w:val="4274D25A"/>
    <w:rsid w:val="4290F2EC"/>
    <w:rsid w:val="42912E16"/>
    <w:rsid w:val="429E397A"/>
    <w:rsid w:val="429F6571"/>
    <w:rsid w:val="42A9CDE7"/>
    <w:rsid w:val="42ACD861"/>
    <w:rsid w:val="42C73247"/>
    <w:rsid w:val="42D8C437"/>
    <w:rsid w:val="42DBAB6E"/>
    <w:rsid w:val="430A48D3"/>
    <w:rsid w:val="430B0E21"/>
    <w:rsid w:val="430B743D"/>
    <w:rsid w:val="430BCDB8"/>
    <w:rsid w:val="4310968C"/>
    <w:rsid w:val="4310F85A"/>
    <w:rsid w:val="431424E7"/>
    <w:rsid w:val="431F5EA7"/>
    <w:rsid w:val="433DB889"/>
    <w:rsid w:val="434F4D73"/>
    <w:rsid w:val="439DB5DC"/>
    <w:rsid w:val="43BD051F"/>
    <w:rsid w:val="43C4AAC0"/>
    <w:rsid w:val="43EA895C"/>
    <w:rsid w:val="43EB14A9"/>
    <w:rsid w:val="43F61DF7"/>
    <w:rsid w:val="440EF761"/>
    <w:rsid w:val="44374F50"/>
    <w:rsid w:val="4451FD1A"/>
    <w:rsid w:val="445D155A"/>
    <w:rsid w:val="446E3FA7"/>
    <w:rsid w:val="446E9B71"/>
    <w:rsid w:val="4470402D"/>
    <w:rsid w:val="4472BC8F"/>
    <w:rsid w:val="447FF5AF"/>
    <w:rsid w:val="449E753F"/>
    <w:rsid w:val="44D0B66D"/>
    <w:rsid w:val="44DEB9C8"/>
    <w:rsid w:val="44FDFA8D"/>
    <w:rsid w:val="450F7C3A"/>
    <w:rsid w:val="451D423D"/>
    <w:rsid w:val="45289CD3"/>
    <w:rsid w:val="453130C3"/>
    <w:rsid w:val="45414DE7"/>
    <w:rsid w:val="45609DBF"/>
    <w:rsid w:val="457CFE3F"/>
    <w:rsid w:val="45A316FD"/>
    <w:rsid w:val="45B3E30C"/>
    <w:rsid w:val="45FB78B2"/>
    <w:rsid w:val="45FDC555"/>
    <w:rsid w:val="45FEC76A"/>
    <w:rsid w:val="4648C180"/>
    <w:rsid w:val="4653E1A6"/>
    <w:rsid w:val="4654E351"/>
    <w:rsid w:val="466144AF"/>
    <w:rsid w:val="467B38F0"/>
    <w:rsid w:val="46A54646"/>
    <w:rsid w:val="46A57DEB"/>
    <w:rsid w:val="46F9B318"/>
    <w:rsid w:val="46FB05FF"/>
    <w:rsid w:val="47009EB0"/>
    <w:rsid w:val="47126088"/>
    <w:rsid w:val="4717AF11"/>
    <w:rsid w:val="473D6953"/>
    <w:rsid w:val="475A12A3"/>
    <w:rsid w:val="476066E2"/>
    <w:rsid w:val="47628362"/>
    <w:rsid w:val="47998E3D"/>
    <w:rsid w:val="47A2797E"/>
    <w:rsid w:val="47CE4093"/>
    <w:rsid w:val="47F02693"/>
    <w:rsid w:val="4813033D"/>
    <w:rsid w:val="4822FBB3"/>
    <w:rsid w:val="48316CE3"/>
    <w:rsid w:val="48317EEB"/>
    <w:rsid w:val="48368C6C"/>
    <w:rsid w:val="48516406"/>
    <w:rsid w:val="485647E4"/>
    <w:rsid w:val="4868F1D6"/>
    <w:rsid w:val="4869499B"/>
    <w:rsid w:val="48836C08"/>
    <w:rsid w:val="4885276A"/>
    <w:rsid w:val="4893D2CF"/>
    <w:rsid w:val="48A5E30A"/>
    <w:rsid w:val="48A67A35"/>
    <w:rsid w:val="48AE6F99"/>
    <w:rsid w:val="48B41B90"/>
    <w:rsid w:val="48B8D035"/>
    <w:rsid w:val="48D27B1A"/>
    <w:rsid w:val="48DD9262"/>
    <w:rsid w:val="48F5674E"/>
    <w:rsid w:val="49030D17"/>
    <w:rsid w:val="490510E1"/>
    <w:rsid w:val="49056771"/>
    <w:rsid w:val="49101D8F"/>
    <w:rsid w:val="492C83D1"/>
    <w:rsid w:val="4930CA25"/>
    <w:rsid w:val="49348FAE"/>
    <w:rsid w:val="4949F50B"/>
    <w:rsid w:val="494D0C97"/>
    <w:rsid w:val="4951DF40"/>
    <w:rsid w:val="49550713"/>
    <w:rsid w:val="49802A93"/>
    <w:rsid w:val="498FD9BF"/>
    <w:rsid w:val="49A2A6AD"/>
    <w:rsid w:val="49A7C0DA"/>
    <w:rsid w:val="49AA5F6C"/>
    <w:rsid w:val="49CC47A1"/>
    <w:rsid w:val="49EB1B8D"/>
    <w:rsid w:val="49FF5846"/>
    <w:rsid w:val="4A0AC0AE"/>
    <w:rsid w:val="4A12ABA6"/>
    <w:rsid w:val="4A1870AD"/>
    <w:rsid w:val="4A234A3F"/>
    <w:rsid w:val="4A296EF0"/>
    <w:rsid w:val="4A2FE401"/>
    <w:rsid w:val="4A3EDA9F"/>
    <w:rsid w:val="4A471646"/>
    <w:rsid w:val="4A4E50A9"/>
    <w:rsid w:val="4A5FD024"/>
    <w:rsid w:val="4A9936E0"/>
    <w:rsid w:val="4AA6F208"/>
    <w:rsid w:val="4AB495DD"/>
    <w:rsid w:val="4ABB71FE"/>
    <w:rsid w:val="4ABDA46D"/>
    <w:rsid w:val="4AF2B52F"/>
    <w:rsid w:val="4B05BEF6"/>
    <w:rsid w:val="4B08F1B9"/>
    <w:rsid w:val="4B0C239D"/>
    <w:rsid w:val="4B0FC90C"/>
    <w:rsid w:val="4B1A4E9D"/>
    <w:rsid w:val="4B253803"/>
    <w:rsid w:val="4B25C326"/>
    <w:rsid w:val="4B262664"/>
    <w:rsid w:val="4B343FA6"/>
    <w:rsid w:val="4B5263AD"/>
    <w:rsid w:val="4B5CF891"/>
    <w:rsid w:val="4B6363F4"/>
    <w:rsid w:val="4B77A9ED"/>
    <w:rsid w:val="4B7B5B83"/>
    <w:rsid w:val="4B823CD1"/>
    <w:rsid w:val="4B87723F"/>
    <w:rsid w:val="4BA216C6"/>
    <w:rsid w:val="4BAE7752"/>
    <w:rsid w:val="4BAEA6AB"/>
    <w:rsid w:val="4BAF9476"/>
    <w:rsid w:val="4BB6267B"/>
    <w:rsid w:val="4BD1FE94"/>
    <w:rsid w:val="4BDC4BFB"/>
    <w:rsid w:val="4BF1D952"/>
    <w:rsid w:val="4BF3645E"/>
    <w:rsid w:val="4BFF2DCC"/>
    <w:rsid w:val="4C2420B9"/>
    <w:rsid w:val="4C3803D5"/>
    <w:rsid w:val="4C5D1FA8"/>
    <w:rsid w:val="4C73B718"/>
    <w:rsid w:val="4C7C3E16"/>
    <w:rsid w:val="4C959655"/>
    <w:rsid w:val="4CA50F2F"/>
    <w:rsid w:val="4CCF728B"/>
    <w:rsid w:val="4CD87CC9"/>
    <w:rsid w:val="4CF0CA88"/>
    <w:rsid w:val="4CF211A2"/>
    <w:rsid w:val="4CF5366A"/>
    <w:rsid w:val="4D036F6B"/>
    <w:rsid w:val="4D0E58EF"/>
    <w:rsid w:val="4D263ED6"/>
    <w:rsid w:val="4D344DD9"/>
    <w:rsid w:val="4D3A2095"/>
    <w:rsid w:val="4D3B4DA1"/>
    <w:rsid w:val="4D3FFDFA"/>
    <w:rsid w:val="4D46403C"/>
    <w:rsid w:val="4D64510C"/>
    <w:rsid w:val="4D68290C"/>
    <w:rsid w:val="4D7737F8"/>
    <w:rsid w:val="4D7F2EDC"/>
    <w:rsid w:val="4D979169"/>
    <w:rsid w:val="4D9BB529"/>
    <w:rsid w:val="4DA872E1"/>
    <w:rsid w:val="4DC6FE60"/>
    <w:rsid w:val="4DDFBA3F"/>
    <w:rsid w:val="4DDFE554"/>
    <w:rsid w:val="4E01319F"/>
    <w:rsid w:val="4E04205E"/>
    <w:rsid w:val="4E34F645"/>
    <w:rsid w:val="4E596490"/>
    <w:rsid w:val="4E69D510"/>
    <w:rsid w:val="4E78F2F9"/>
    <w:rsid w:val="4E851228"/>
    <w:rsid w:val="4E9A018C"/>
    <w:rsid w:val="4E9A2E68"/>
    <w:rsid w:val="4EC124A6"/>
    <w:rsid w:val="4ED50533"/>
    <w:rsid w:val="4EEF3E72"/>
    <w:rsid w:val="4EF28532"/>
    <w:rsid w:val="4F142383"/>
    <w:rsid w:val="4F38445B"/>
    <w:rsid w:val="4F41CB3D"/>
    <w:rsid w:val="4F456798"/>
    <w:rsid w:val="4F4A951A"/>
    <w:rsid w:val="4F63F9B4"/>
    <w:rsid w:val="4F67AD65"/>
    <w:rsid w:val="4F6F96A0"/>
    <w:rsid w:val="4F871583"/>
    <w:rsid w:val="4F9C3440"/>
    <w:rsid w:val="4F9E1526"/>
    <w:rsid w:val="4F9E340C"/>
    <w:rsid w:val="4FB08B9C"/>
    <w:rsid w:val="4FDEFAF8"/>
    <w:rsid w:val="5008F69A"/>
    <w:rsid w:val="500CC8C3"/>
    <w:rsid w:val="5010F2D1"/>
    <w:rsid w:val="50193CBD"/>
    <w:rsid w:val="501B5903"/>
    <w:rsid w:val="5030633E"/>
    <w:rsid w:val="5041996F"/>
    <w:rsid w:val="5075A300"/>
    <w:rsid w:val="50858714"/>
    <w:rsid w:val="50B0C9B0"/>
    <w:rsid w:val="50B168C7"/>
    <w:rsid w:val="50D1FA26"/>
    <w:rsid w:val="50D5A216"/>
    <w:rsid w:val="50EDFD66"/>
    <w:rsid w:val="50EE5FED"/>
    <w:rsid w:val="5111FEE2"/>
    <w:rsid w:val="511372F3"/>
    <w:rsid w:val="5118E4E6"/>
    <w:rsid w:val="5120935D"/>
    <w:rsid w:val="512FEE94"/>
    <w:rsid w:val="513955FF"/>
    <w:rsid w:val="51509793"/>
    <w:rsid w:val="51611C46"/>
    <w:rsid w:val="51660CCF"/>
    <w:rsid w:val="516C45EE"/>
    <w:rsid w:val="51733809"/>
    <w:rsid w:val="5175FB93"/>
    <w:rsid w:val="51800A6E"/>
    <w:rsid w:val="51842161"/>
    <w:rsid w:val="518C8532"/>
    <w:rsid w:val="5196D044"/>
    <w:rsid w:val="51C69904"/>
    <w:rsid w:val="51CA365F"/>
    <w:rsid w:val="51D175C4"/>
    <w:rsid w:val="51D795C3"/>
    <w:rsid w:val="51DC255D"/>
    <w:rsid w:val="51F57FCC"/>
    <w:rsid w:val="51FD6C6E"/>
    <w:rsid w:val="5203BEB3"/>
    <w:rsid w:val="520C8655"/>
    <w:rsid w:val="5213A91F"/>
    <w:rsid w:val="521EC5F5"/>
    <w:rsid w:val="5221E5B3"/>
    <w:rsid w:val="5228623C"/>
    <w:rsid w:val="5234D135"/>
    <w:rsid w:val="5238C113"/>
    <w:rsid w:val="525C5303"/>
    <w:rsid w:val="526246C5"/>
    <w:rsid w:val="5275CFDB"/>
    <w:rsid w:val="5276670A"/>
    <w:rsid w:val="527A55B7"/>
    <w:rsid w:val="528E3959"/>
    <w:rsid w:val="52A1B2AC"/>
    <w:rsid w:val="52C8BEF8"/>
    <w:rsid w:val="52D0620E"/>
    <w:rsid w:val="52D3E3CB"/>
    <w:rsid w:val="52D93055"/>
    <w:rsid w:val="52E8F86B"/>
    <w:rsid w:val="52E92923"/>
    <w:rsid w:val="52F25748"/>
    <w:rsid w:val="52F63CD6"/>
    <w:rsid w:val="52FFE1D3"/>
    <w:rsid w:val="531E6495"/>
    <w:rsid w:val="534123AA"/>
    <w:rsid w:val="5355B434"/>
    <w:rsid w:val="535CAD70"/>
    <w:rsid w:val="5366BB70"/>
    <w:rsid w:val="536A8A7C"/>
    <w:rsid w:val="5395CE70"/>
    <w:rsid w:val="539ABB7C"/>
    <w:rsid w:val="53AEDBF9"/>
    <w:rsid w:val="53C9ED36"/>
    <w:rsid w:val="53CB4400"/>
    <w:rsid w:val="53DAEAE2"/>
    <w:rsid w:val="53E49C36"/>
    <w:rsid w:val="53F6997B"/>
    <w:rsid w:val="53FC19C5"/>
    <w:rsid w:val="53FD3045"/>
    <w:rsid w:val="54085C88"/>
    <w:rsid w:val="54094BF0"/>
    <w:rsid w:val="5411E42C"/>
    <w:rsid w:val="54170671"/>
    <w:rsid w:val="541D81E8"/>
    <w:rsid w:val="54678C68"/>
    <w:rsid w:val="5477D96B"/>
    <w:rsid w:val="5492F80A"/>
    <w:rsid w:val="54A3ED6A"/>
    <w:rsid w:val="54B1AD01"/>
    <w:rsid w:val="54DD3B36"/>
    <w:rsid w:val="54E085BC"/>
    <w:rsid w:val="54E38414"/>
    <w:rsid w:val="55035649"/>
    <w:rsid w:val="5508C5DA"/>
    <w:rsid w:val="55269D74"/>
    <w:rsid w:val="5542DF43"/>
    <w:rsid w:val="554EF5C1"/>
    <w:rsid w:val="5559AFE7"/>
    <w:rsid w:val="555B8012"/>
    <w:rsid w:val="555CCD96"/>
    <w:rsid w:val="5562CEEB"/>
    <w:rsid w:val="5569ACE6"/>
    <w:rsid w:val="55786828"/>
    <w:rsid w:val="557E122F"/>
    <w:rsid w:val="557F2681"/>
    <w:rsid w:val="5582A6AA"/>
    <w:rsid w:val="55842BE5"/>
    <w:rsid w:val="55849253"/>
    <w:rsid w:val="5595B2E6"/>
    <w:rsid w:val="5598E1F6"/>
    <w:rsid w:val="55B77AD0"/>
    <w:rsid w:val="55BBEF4E"/>
    <w:rsid w:val="55C4B4DD"/>
    <w:rsid w:val="55CB3681"/>
    <w:rsid w:val="55CD6448"/>
    <w:rsid w:val="55D2A632"/>
    <w:rsid w:val="55DE676D"/>
    <w:rsid w:val="5604CC2C"/>
    <w:rsid w:val="561D6B66"/>
    <w:rsid w:val="563431D1"/>
    <w:rsid w:val="563D71F4"/>
    <w:rsid w:val="564F1299"/>
    <w:rsid w:val="564FD134"/>
    <w:rsid w:val="565FA39E"/>
    <w:rsid w:val="565FE443"/>
    <w:rsid w:val="567A64D9"/>
    <w:rsid w:val="569FA6F9"/>
    <w:rsid w:val="56B37C5A"/>
    <w:rsid w:val="56C4C502"/>
    <w:rsid w:val="56CD1864"/>
    <w:rsid w:val="56D2EB85"/>
    <w:rsid w:val="56EB9B39"/>
    <w:rsid w:val="56EC166E"/>
    <w:rsid w:val="57049431"/>
    <w:rsid w:val="5705B78E"/>
    <w:rsid w:val="5719055A"/>
    <w:rsid w:val="571CE239"/>
    <w:rsid w:val="572E73E7"/>
    <w:rsid w:val="573B0FCC"/>
    <w:rsid w:val="575E2069"/>
    <w:rsid w:val="5771CE1A"/>
    <w:rsid w:val="57784D7A"/>
    <w:rsid w:val="578D0DAA"/>
    <w:rsid w:val="579A9B7F"/>
    <w:rsid w:val="579F4CE1"/>
    <w:rsid w:val="57A8EF88"/>
    <w:rsid w:val="57B35FFD"/>
    <w:rsid w:val="57B40D30"/>
    <w:rsid w:val="57BF04B1"/>
    <w:rsid w:val="57DA4269"/>
    <w:rsid w:val="57DE328C"/>
    <w:rsid w:val="57F71D78"/>
    <w:rsid w:val="57F736D4"/>
    <w:rsid w:val="57FE3390"/>
    <w:rsid w:val="58119F46"/>
    <w:rsid w:val="58222C29"/>
    <w:rsid w:val="5827A8AA"/>
    <w:rsid w:val="582A6E01"/>
    <w:rsid w:val="582CCC3A"/>
    <w:rsid w:val="582F8485"/>
    <w:rsid w:val="584117B5"/>
    <w:rsid w:val="58462434"/>
    <w:rsid w:val="58500346"/>
    <w:rsid w:val="58646DD8"/>
    <w:rsid w:val="586C2C10"/>
    <w:rsid w:val="586D2F83"/>
    <w:rsid w:val="588004F8"/>
    <w:rsid w:val="589FBC31"/>
    <w:rsid w:val="58A4F30D"/>
    <w:rsid w:val="58B3DCDE"/>
    <w:rsid w:val="58D2AB0D"/>
    <w:rsid w:val="58D6CEEE"/>
    <w:rsid w:val="58D9A4C1"/>
    <w:rsid w:val="58F73471"/>
    <w:rsid w:val="590AC4C7"/>
    <w:rsid w:val="590F8B62"/>
    <w:rsid w:val="59140C9E"/>
    <w:rsid w:val="591DA04B"/>
    <w:rsid w:val="5930AFBD"/>
    <w:rsid w:val="596C050E"/>
    <w:rsid w:val="5973E348"/>
    <w:rsid w:val="597FD699"/>
    <w:rsid w:val="59B42463"/>
    <w:rsid w:val="59C1981B"/>
    <w:rsid w:val="59D78BC5"/>
    <w:rsid w:val="59E02C3A"/>
    <w:rsid w:val="59E2EE5F"/>
    <w:rsid w:val="59EFB2C8"/>
    <w:rsid w:val="5A0897A1"/>
    <w:rsid w:val="5A0AB874"/>
    <w:rsid w:val="5A0EC615"/>
    <w:rsid w:val="5A107DB7"/>
    <w:rsid w:val="5A2727D3"/>
    <w:rsid w:val="5A3FEF8C"/>
    <w:rsid w:val="5A5A5727"/>
    <w:rsid w:val="5A6F831A"/>
    <w:rsid w:val="5A770921"/>
    <w:rsid w:val="5A88DC53"/>
    <w:rsid w:val="5A8AB897"/>
    <w:rsid w:val="5A93B121"/>
    <w:rsid w:val="5AA3C609"/>
    <w:rsid w:val="5AB8E393"/>
    <w:rsid w:val="5ABA09CE"/>
    <w:rsid w:val="5AC28BF1"/>
    <w:rsid w:val="5ACC66BE"/>
    <w:rsid w:val="5AD04C6F"/>
    <w:rsid w:val="5AE94BDE"/>
    <w:rsid w:val="5AF57CDD"/>
    <w:rsid w:val="5AFA8D3C"/>
    <w:rsid w:val="5B23C2CD"/>
    <w:rsid w:val="5B253927"/>
    <w:rsid w:val="5B458F92"/>
    <w:rsid w:val="5B49DE8B"/>
    <w:rsid w:val="5B7448D9"/>
    <w:rsid w:val="5BB298DA"/>
    <w:rsid w:val="5BBB535B"/>
    <w:rsid w:val="5BC0ED86"/>
    <w:rsid w:val="5BD4A73E"/>
    <w:rsid w:val="5BD77EF8"/>
    <w:rsid w:val="5BDADFCA"/>
    <w:rsid w:val="5BF3840D"/>
    <w:rsid w:val="5BF7494A"/>
    <w:rsid w:val="5BFD1B2B"/>
    <w:rsid w:val="5C137934"/>
    <w:rsid w:val="5C2EED97"/>
    <w:rsid w:val="5C3BBC76"/>
    <w:rsid w:val="5C49BC1C"/>
    <w:rsid w:val="5C4DCAF3"/>
    <w:rsid w:val="5C702DEE"/>
    <w:rsid w:val="5C94D080"/>
    <w:rsid w:val="5C9AECE2"/>
    <w:rsid w:val="5CAFAB91"/>
    <w:rsid w:val="5CC49B06"/>
    <w:rsid w:val="5CCD9B2F"/>
    <w:rsid w:val="5CD3A469"/>
    <w:rsid w:val="5CF55827"/>
    <w:rsid w:val="5CF82354"/>
    <w:rsid w:val="5D2D2AE7"/>
    <w:rsid w:val="5D55ACFF"/>
    <w:rsid w:val="5D55D590"/>
    <w:rsid w:val="5D5DF563"/>
    <w:rsid w:val="5D62AF75"/>
    <w:rsid w:val="5D968740"/>
    <w:rsid w:val="5D9A38CF"/>
    <w:rsid w:val="5DC8AE3E"/>
    <w:rsid w:val="5DEF1F14"/>
    <w:rsid w:val="5DF3D446"/>
    <w:rsid w:val="5DF8AFD7"/>
    <w:rsid w:val="5E10CACA"/>
    <w:rsid w:val="5E2398F8"/>
    <w:rsid w:val="5E287C8E"/>
    <w:rsid w:val="5E307155"/>
    <w:rsid w:val="5E3BA7BC"/>
    <w:rsid w:val="5E5CA5D4"/>
    <w:rsid w:val="5E72A903"/>
    <w:rsid w:val="5E730C1C"/>
    <w:rsid w:val="5E75F036"/>
    <w:rsid w:val="5E827837"/>
    <w:rsid w:val="5E9D4CBB"/>
    <w:rsid w:val="5EB342A7"/>
    <w:rsid w:val="5EB67F88"/>
    <w:rsid w:val="5EC70E97"/>
    <w:rsid w:val="5EE03730"/>
    <w:rsid w:val="5EE2BB2D"/>
    <w:rsid w:val="5EED02A5"/>
    <w:rsid w:val="5EF6402D"/>
    <w:rsid w:val="5EF77E24"/>
    <w:rsid w:val="5F028AD6"/>
    <w:rsid w:val="5F04CF4C"/>
    <w:rsid w:val="5F23185E"/>
    <w:rsid w:val="5F2427CB"/>
    <w:rsid w:val="5F279572"/>
    <w:rsid w:val="5F3DB6FE"/>
    <w:rsid w:val="5F45141D"/>
    <w:rsid w:val="5F4B3B62"/>
    <w:rsid w:val="5F56D2EE"/>
    <w:rsid w:val="5F5D7EEC"/>
    <w:rsid w:val="5F689105"/>
    <w:rsid w:val="5F76832E"/>
    <w:rsid w:val="5F97B4D3"/>
    <w:rsid w:val="5F9BC4B9"/>
    <w:rsid w:val="5FA4D8A5"/>
    <w:rsid w:val="5FB16ED4"/>
    <w:rsid w:val="5FBEBB2B"/>
    <w:rsid w:val="5FC72AF4"/>
    <w:rsid w:val="5FCDB59E"/>
    <w:rsid w:val="5FCF4B98"/>
    <w:rsid w:val="5FD87E3B"/>
    <w:rsid w:val="5FE9FFB2"/>
    <w:rsid w:val="5FF46DF4"/>
    <w:rsid w:val="60057D37"/>
    <w:rsid w:val="601F9582"/>
    <w:rsid w:val="6046C6F0"/>
    <w:rsid w:val="60520065"/>
    <w:rsid w:val="60586C54"/>
    <w:rsid w:val="6073D8C8"/>
    <w:rsid w:val="60753966"/>
    <w:rsid w:val="607E3E28"/>
    <w:rsid w:val="6092AA1F"/>
    <w:rsid w:val="6094B854"/>
    <w:rsid w:val="609AE2B3"/>
    <w:rsid w:val="60AAA010"/>
    <w:rsid w:val="60B702CD"/>
    <w:rsid w:val="60BABAFA"/>
    <w:rsid w:val="60BC115F"/>
    <w:rsid w:val="60D225C4"/>
    <w:rsid w:val="60D43F4C"/>
    <w:rsid w:val="60FE9F62"/>
    <w:rsid w:val="61097A6C"/>
    <w:rsid w:val="610FFDBA"/>
    <w:rsid w:val="611780C1"/>
    <w:rsid w:val="612EDE57"/>
    <w:rsid w:val="614064C5"/>
    <w:rsid w:val="61465F99"/>
    <w:rsid w:val="61555B44"/>
    <w:rsid w:val="615B4BF8"/>
    <w:rsid w:val="615C7FD6"/>
    <w:rsid w:val="6168B10E"/>
    <w:rsid w:val="6187FB28"/>
    <w:rsid w:val="618874EC"/>
    <w:rsid w:val="618EA4AD"/>
    <w:rsid w:val="61901B0A"/>
    <w:rsid w:val="61A12E96"/>
    <w:rsid w:val="61A3544C"/>
    <w:rsid w:val="61AB8CF4"/>
    <w:rsid w:val="61AEC3AB"/>
    <w:rsid w:val="61C500AF"/>
    <w:rsid w:val="61C9EC09"/>
    <w:rsid w:val="61D14D6A"/>
    <w:rsid w:val="61D15B5A"/>
    <w:rsid w:val="61E7C228"/>
    <w:rsid w:val="61EA1072"/>
    <w:rsid w:val="61F4DCF9"/>
    <w:rsid w:val="62042421"/>
    <w:rsid w:val="6219A9D9"/>
    <w:rsid w:val="6224D7A0"/>
    <w:rsid w:val="623D0D6D"/>
    <w:rsid w:val="623D2BF0"/>
    <w:rsid w:val="625219F8"/>
    <w:rsid w:val="62545C94"/>
    <w:rsid w:val="6256FB9B"/>
    <w:rsid w:val="62576567"/>
    <w:rsid w:val="6271D947"/>
    <w:rsid w:val="6279EB34"/>
    <w:rsid w:val="627A005E"/>
    <w:rsid w:val="62831020"/>
    <w:rsid w:val="628DC8C5"/>
    <w:rsid w:val="62B88142"/>
    <w:rsid w:val="62D01615"/>
    <w:rsid w:val="62D19193"/>
    <w:rsid w:val="62D7ED9E"/>
    <w:rsid w:val="62EC9EA0"/>
    <w:rsid w:val="62EE6A97"/>
    <w:rsid w:val="6336F3ED"/>
    <w:rsid w:val="633F7AB4"/>
    <w:rsid w:val="634DA1FA"/>
    <w:rsid w:val="636934EB"/>
    <w:rsid w:val="6375A61F"/>
    <w:rsid w:val="6382AC5E"/>
    <w:rsid w:val="638455F8"/>
    <w:rsid w:val="63860646"/>
    <w:rsid w:val="638E0C94"/>
    <w:rsid w:val="63B08AC5"/>
    <w:rsid w:val="63D199B0"/>
    <w:rsid w:val="63D5A26C"/>
    <w:rsid w:val="63F25E2E"/>
    <w:rsid w:val="63F8635C"/>
    <w:rsid w:val="640A6338"/>
    <w:rsid w:val="640D7198"/>
    <w:rsid w:val="641A5360"/>
    <w:rsid w:val="64298A9C"/>
    <w:rsid w:val="642BC865"/>
    <w:rsid w:val="64332A30"/>
    <w:rsid w:val="643A1341"/>
    <w:rsid w:val="643E1B7D"/>
    <w:rsid w:val="6450C772"/>
    <w:rsid w:val="64679556"/>
    <w:rsid w:val="6474DBF3"/>
    <w:rsid w:val="64BA9B9E"/>
    <w:rsid w:val="64C356E9"/>
    <w:rsid w:val="64DFA3D2"/>
    <w:rsid w:val="64E715A6"/>
    <w:rsid w:val="64EBF7AA"/>
    <w:rsid w:val="64EE31E6"/>
    <w:rsid w:val="64F28087"/>
    <w:rsid w:val="64F35A70"/>
    <w:rsid w:val="651EE11F"/>
    <w:rsid w:val="6538F369"/>
    <w:rsid w:val="655C29C8"/>
    <w:rsid w:val="657A8102"/>
    <w:rsid w:val="65909A45"/>
    <w:rsid w:val="65A491C4"/>
    <w:rsid w:val="65AE081F"/>
    <w:rsid w:val="65B9BC70"/>
    <w:rsid w:val="65BBBC45"/>
    <w:rsid w:val="65CAE2F6"/>
    <w:rsid w:val="65E52C76"/>
    <w:rsid w:val="65F9CDEE"/>
    <w:rsid w:val="660A47CD"/>
    <w:rsid w:val="660A8C4E"/>
    <w:rsid w:val="66206C69"/>
    <w:rsid w:val="662B595A"/>
    <w:rsid w:val="6638E48F"/>
    <w:rsid w:val="664848FB"/>
    <w:rsid w:val="664DC2B3"/>
    <w:rsid w:val="6654C8A5"/>
    <w:rsid w:val="6657F83C"/>
    <w:rsid w:val="665D4FCE"/>
    <w:rsid w:val="6662F94B"/>
    <w:rsid w:val="666FBCFD"/>
    <w:rsid w:val="667F3149"/>
    <w:rsid w:val="6684FEA0"/>
    <w:rsid w:val="66884835"/>
    <w:rsid w:val="668AD620"/>
    <w:rsid w:val="668FB1CE"/>
    <w:rsid w:val="66BD2B14"/>
    <w:rsid w:val="66E85AE3"/>
    <w:rsid w:val="66F56B27"/>
    <w:rsid w:val="66F7F83E"/>
    <w:rsid w:val="67282D7F"/>
    <w:rsid w:val="672A2D20"/>
    <w:rsid w:val="67386713"/>
    <w:rsid w:val="674086D4"/>
    <w:rsid w:val="675B9105"/>
    <w:rsid w:val="675DBA85"/>
    <w:rsid w:val="675FAA73"/>
    <w:rsid w:val="67695B10"/>
    <w:rsid w:val="676F3979"/>
    <w:rsid w:val="6777E8BD"/>
    <w:rsid w:val="6788987B"/>
    <w:rsid w:val="67A44C06"/>
    <w:rsid w:val="67A8B22A"/>
    <w:rsid w:val="67B52003"/>
    <w:rsid w:val="67B7DC36"/>
    <w:rsid w:val="67BCBE23"/>
    <w:rsid w:val="67F56619"/>
    <w:rsid w:val="67FA6F2D"/>
    <w:rsid w:val="681314A2"/>
    <w:rsid w:val="6813E2DF"/>
    <w:rsid w:val="6828E0FC"/>
    <w:rsid w:val="6854CD9B"/>
    <w:rsid w:val="68668AC2"/>
    <w:rsid w:val="6866D9FD"/>
    <w:rsid w:val="68679393"/>
    <w:rsid w:val="68947BE6"/>
    <w:rsid w:val="68B5F2E1"/>
    <w:rsid w:val="68BBEC3A"/>
    <w:rsid w:val="68D04BF3"/>
    <w:rsid w:val="68DCBB2F"/>
    <w:rsid w:val="68E8C527"/>
    <w:rsid w:val="68FAAE79"/>
    <w:rsid w:val="69010BFC"/>
    <w:rsid w:val="690B59DC"/>
    <w:rsid w:val="690D4021"/>
    <w:rsid w:val="690E5FCF"/>
    <w:rsid w:val="691388C6"/>
    <w:rsid w:val="69168F20"/>
    <w:rsid w:val="69181113"/>
    <w:rsid w:val="692F1B0B"/>
    <w:rsid w:val="6937003D"/>
    <w:rsid w:val="69494FD8"/>
    <w:rsid w:val="694F7F34"/>
    <w:rsid w:val="6974267F"/>
    <w:rsid w:val="69813188"/>
    <w:rsid w:val="69919406"/>
    <w:rsid w:val="69BA8FB3"/>
    <w:rsid w:val="69C94C7F"/>
    <w:rsid w:val="69CA463B"/>
    <w:rsid w:val="6A09553F"/>
    <w:rsid w:val="6A0C41F1"/>
    <w:rsid w:val="6A173A20"/>
    <w:rsid w:val="6A1C563C"/>
    <w:rsid w:val="6A2BBB36"/>
    <w:rsid w:val="6A2F65F3"/>
    <w:rsid w:val="6A391C6A"/>
    <w:rsid w:val="6A426EC3"/>
    <w:rsid w:val="6A4FB5AD"/>
    <w:rsid w:val="6A544051"/>
    <w:rsid w:val="6A544833"/>
    <w:rsid w:val="6A59B9FD"/>
    <w:rsid w:val="6A6B1E26"/>
    <w:rsid w:val="6A7650DF"/>
    <w:rsid w:val="6A83F1AB"/>
    <w:rsid w:val="6A858379"/>
    <w:rsid w:val="6AA6501E"/>
    <w:rsid w:val="6ACB52B9"/>
    <w:rsid w:val="6ACED988"/>
    <w:rsid w:val="6AD45473"/>
    <w:rsid w:val="6AD9E49A"/>
    <w:rsid w:val="6AE5362E"/>
    <w:rsid w:val="6AF0E0A7"/>
    <w:rsid w:val="6AFEB5E7"/>
    <w:rsid w:val="6B0565B7"/>
    <w:rsid w:val="6B63E678"/>
    <w:rsid w:val="6B71D4FB"/>
    <w:rsid w:val="6B74B7B6"/>
    <w:rsid w:val="6B75B816"/>
    <w:rsid w:val="6B798FB4"/>
    <w:rsid w:val="6B867EF5"/>
    <w:rsid w:val="6B97A867"/>
    <w:rsid w:val="6BA06BFC"/>
    <w:rsid w:val="6BC0C9AB"/>
    <w:rsid w:val="6BD878B0"/>
    <w:rsid w:val="6BF3C2E2"/>
    <w:rsid w:val="6BF51437"/>
    <w:rsid w:val="6BF769DF"/>
    <w:rsid w:val="6C0371CF"/>
    <w:rsid w:val="6C15732E"/>
    <w:rsid w:val="6C2D13D8"/>
    <w:rsid w:val="6C59CA9B"/>
    <w:rsid w:val="6C750EF5"/>
    <w:rsid w:val="6CA02816"/>
    <w:rsid w:val="6CA5D364"/>
    <w:rsid w:val="6CCA1631"/>
    <w:rsid w:val="6CEE2FCF"/>
    <w:rsid w:val="6D3C417F"/>
    <w:rsid w:val="6D3D1527"/>
    <w:rsid w:val="6D428208"/>
    <w:rsid w:val="6D5222C4"/>
    <w:rsid w:val="6D59F102"/>
    <w:rsid w:val="6D5B641C"/>
    <w:rsid w:val="6D6417C8"/>
    <w:rsid w:val="6D65F164"/>
    <w:rsid w:val="6D79400D"/>
    <w:rsid w:val="6D8365E3"/>
    <w:rsid w:val="6D92F548"/>
    <w:rsid w:val="6DA69934"/>
    <w:rsid w:val="6DACC0C0"/>
    <w:rsid w:val="6DCBA2C7"/>
    <w:rsid w:val="6DD27C9E"/>
    <w:rsid w:val="6E13E85D"/>
    <w:rsid w:val="6E1F7A30"/>
    <w:rsid w:val="6E27D138"/>
    <w:rsid w:val="6E30C65D"/>
    <w:rsid w:val="6E32651E"/>
    <w:rsid w:val="6E34D6CA"/>
    <w:rsid w:val="6E636557"/>
    <w:rsid w:val="6E986FEE"/>
    <w:rsid w:val="6EA218BC"/>
    <w:rsid w:val="6EAE4106"/>
    <w:rsid w:val="6EB278EA"/>
    <w:rsid w:val="6EE61A87"/>
    <w:rsid w:val="6EE899BE"/>
    <w:rsid w:val="6EEB72D0"/>
    <w:rsid w:val="6EEF81FC"/>
    <w:rsid w:val="6EF8EC33"/>
    <w:rsid w:val="6EFAD367"/>
    <w:rsid w:val="6F1AB6FE"/>
    <w:rsid w:val="6F1E409E"/>
    <w:rsid w:val="6F2A0696"/>
    <w:rsid w:val="6F445C25"/>
    <w:rsid w:val="6F46A027"/>
    <w:rsid w:val="6F4E9303"/>
    <w:rsid w:val="6F5767E0"/>
    <w:rsid w:val="6F5DD88A"/>
    <w:rsid w:val="6F628125"/>
    <w:rsid w:val="6F75F0EE"/>
    <w:rsid w:val="6F783F12"/>
    <w:rsid w:val="6FAD52FE"/>
    <w:rsid w:val="6FB0062C"/>
    <w:rsid w:val="6FB11DB4"/>
    <w:rsid w:val="6FB9029E"/>
    <w:rsid w:val="6FCBBC1E"/>
    <w:rsid w:val="6FD54D4F"/>
    <w:rsid w:val="6FE67D95"/>
    <w:rsid w:val="6FE69BA3"/>
    <w:rsid w:val="6FF6C2EE"/>
    <w:rsid w:val="7003915B"/>
    <w:rsid w:val="700DA59A"/>
    <w:rsid w:val="70104603"/>
    <w:rsid w:val="70314E4B"/>
    <w:rsid w:val="7038AC22"/>
    <w:rsid w:val="703A082B"/>
    <w:rsid w:val="703DFB2E"/>
    <w:rsid w:val="703FA16B"/>
    <w:rsid w:val="704AE116"/>
    <w:rsid w:val="7090CFAB"/>
    <w:rsid w:val="709741E2"/>
    <w:rsid w:val="709A3B3A"/>
    <w:rsid w:val="709BDDF9"/>
    <w:rsid w:val="70B000B3"/>
    <w:rsid w:val="70B81C15"/>
    <w:rsid w:val="70F25C01"/>
    <w:rsid w:val="711C138D"/>
    <w:rsid w:val="712B2A2E"/>
    <w:rsid w:val="712CC820"/>
    <w:rsid w:val="712DDACB"/>
    <w:rsid w:val="71323C40"/>
    <w:rsid w:val="713EBC50"/>
    <w:rsid w:val="7140EFBF"/>
    <w:rsid w:val="7150C6B8"/>
    <w:rsid w:val="7198C723"/>
    <w:rsid w:val="71C4AD34"/>
    <w:rsid w:val="71C4FCC8"/>
    <w:rsid w:val="71D4D596"/>
    <w:rsid w:val="71FC9A66"/>
    <w:rsid w:val="72305565"/>
    <w:rsid w:val="7234EF30"/>
    <w:rsid w:val="72365943"/>
    <w:rsid w:val="7241CBB6"/>
    <w:rsid w:val="72456BBA"/>
    <w:rsid w:val="72549923"/>
    <w:rsid w:val="7265BF47"/>
    <w:rsid w:val="727B7090"/>
    <w:rsid w:val="7285CDE6"/>
    <w:rsid w:val="728B3B20"/>
    <w:rsid w:val="729B40F2"/>
    <w:rsid w:val="729BA729"/>
    <w:rsid w:val="72A22B19"/>
    <w:rsid w:val="72AF954B"/>
    <w:rsid w:val="72C1C5DE"/>
    <w:rsid w:val="72CACA38"/>
    <w:rsid w:val="72EC09E7"/>
    <w:rsid w:val="73106A85"/>
    <w:rsid w:val="73316D97"/>
    <w:rsid w:val="733472E3"/>
    <w:rsid w:val="73380F5A"/>
    <w:rsid w:val="733A479E"/>
    <w:rsid w:val="73432942"/>
    <w:rsid w:val="7348874F"/>
    <w:rsid w:val="734F401A"/>
    <w:rsid w:val="735AF5D2"/>
    <w:rsid w:val="735D0F6C"/>
    <w:rsid w:val="73727908"/>
    <w:rsid w:val="73753A25"/>
    <w:rsid w:val="7378C4B6"/>
    <w:rsid w:val="73804CD2"/>
    <w:rsid w:val="73CBCC06"/>
    <w:rsid w:val="73E4FBEF"/>
    <w:rsid w:val="73E55C7E"/>
    <w:rsid w:val="74009AC4"/>
    <w:rsid w:val="741A0842"/>
    <w:rsid w:val="7424B5CC"/>
    <w:rsid w:val="74348AF8"/>
    <w:rsid w:val="743A1EE3"/>
    <w:rsid w:val="744BAFA2"/>
    <w:rsid w:val="7455CD47"/>
    <w:rsid w:val="7461D56A"/>
    <w:rsid w:val="7464B461"/>
    <w:rsid w:val="7473417B"/>
    <w:rsid w:val="747D93CC"/>
    <w:rsid w:val="74905E1F"/>
    <w:rsid w:val="749BAB7F"/>
    <w:rsid w:val="74A07E4B"/>
    <w:rsid w:val="74B51D80"/>
    <w:rsid w:val="74B75F8E"/>
    <w:rsid w:val="74B97DA5"/>
    <w:rsid w:val="74BDD1B2"/>
    <w:rsid w:val="74D9AD87"/>
    <w:rsid w:val="74E26FA5"/>
    <w:rsid w:val="74FE6A36"/>
    <w:rsid w:val="75062EF7"/>
    <w:rsid w:val="75078E1C"/>
    <w:rsid w:val="7508153E"/>
    <w:rsid w:val="750C202B"/>
    <w:rsid w:val="7524F367"/>
    <w:rsid w:val="7525DEEB"/>
    <w:rsid w:val="755A2CA1"/>
    <w:rsid w:val="755F7C36"/>
    <w:rsid w:val="75688804"/>
    <w:rsid w:val="756E638E"/>
    <w:rsid w:val="75701040"/>
    <w:rsid w:val="757BD84D"/>
    <w:rsid w:val="759ADCC9"/>
    <w:rsid w:val="75A594FC"/>
    <w:rsid w:val="75B165C2"/>
    <w:rsid w:val="75B274AF"/>
    <w:rsid w:val="75BA970C"/>
    <w:rsid w:val="75DD4A33"/>
    <w:rsid w:val="75E28F4A"/>
    <w:rsid w:val="75E525AB"/>
    <w:rsid w:val="75E9AAE2"/>
    <w:rsid w:val="75ED07E8"/>
    <w:rsid w:val="75F331CD"/>
    <w:rsid w:val="76172B09"/>
    <w:rsid w:val="761CAF5E"/>
    <w:rsid w:val="762A81A9"/>
    <w:rsid w:val="7632C114"/>
    <w:rsid w:val="7647B28A"/>
    <w:rsid w:val="765DC923"/>
    <w:rsid w:val="76689C14"/>
    <w:rsid w:val="768B02F9"/>
    <w:rsid w:val="76912046"/>
    <w:rsid w:val="769A3294"/>
    <w:rsid w:val="76A1D4AA"/>
    <w:rsid w:val="76A2ACC9"/>
    <w:rsid w:val="76D79481"/>
    <w:rsid w:val="76E32BF0"/>
    <w:rsid w:val="76FC52EF"/>
    <w:rsid w:val="770C1319"/>
    <w:rsid w:val="771B5006"/>
    <w:rsid w:val="77283A5A"/>
    <w:rsid w:val="772A1C42"/>
    <w:rsid w:val="7730DD69"/>
    <w:rsid w:val="773224E9"/>
    <w:rsid w:val="776CEFAF"/>
    <w:rsid w:val="77777895"/>
    <w:rsid w:val="778BCD08"/>
    <w:rsid w:val="7790B2DD"/>
    <w:rsid w:val="7792196F"/>
    <w:rsid w:val="77AF5054"/>
    <w:rsid w:val="77BA0E89"/>
    <w:rsid w:val="77C4C0E3"/>
    <w:rsid w:val="77C71A93"/>
    <w:rsid w:val="77CA1CA4"/>
    <w:rsid w:val="77E6B2E8"/>
    <w:rsid w:val="77E97A7D"/>
    <w:rsid w:val="77EC93BE"/>
    <w:rsid w:val="77F61D13"/>
    <w:rsid w:val="77FC6998"/>
    <w:rsid w:val="77FFE8E4"/>
    <w:rsid w:val="78038191"/>
    <w:rsid w:val="780539E3"/>
    <w:rsid w:val="7812A73E"/>
    <w:rsid w:val="781BF72C"/>
    <w:rsid w:val="781C3923"/>
    <w:rsid w:val="78220ED1"/>
    <w:rsid w:val="78376C1D"/>
    <w:rsid w:val="783D252F"/>
    <w:rsid w:val="784A227F"/>
    <w:rsid w:val="784C33CE"/>
    <w:rsid w:val="785E798F"/>
    <w:rsid w:val="78CEDA0C"/>
    <w:rsid w:val="78D63850"/>
    <w:rsid w:val="78E51848"/>
    <w:rsid w:val="78FCCF16"/>
    <w:rsid w:val="7902F125"/>
    <w:rsid w:val="791FF79F"/>
    <w:rsid w:val="7925A7F6"/>
    <w:rsid w:val="792BF2A3"/>
    <w:rsid w:val="792F8039"/>
    <w:rsid w:val="7962D86E"/>
    <w:rsid w:val="7978F68C"/>
    <w:rsid w:val="798177D3"/>
    <w:rsid w:val="798967EC"/>
    <w:rsid w:val="79A58717"/>
    <w:rsid w:val="79AEDB4C"/>
    <w:rsid w:val="79C947D0"/>
    <w:rsid w:val="79CCF02C"/>
    <w:rsid w:val="79D42D31"/>
    <w:rsid w:val="79DA1331"/>
    <w:rsid w:val="79DCC38C"/>
    <w:rsid w:val="7A28FEB2"/>
    <w:rsid w:val="7A2A45F9"/>
    <w:rsid w:val="7A3CC897"/>
    <w:rsid w:val="7A447A66"/>
    <w:rsid w:val="7A4BAA38"/>
    <w:rsid w:val="7A60AC28"/>
    <w:rsid w:val="7A719F66"/>
    <w:rsid w:val="7ADEFE82"/>
    <w:rsid w:val="7AE17AB1"/>
    <w:rsid w:val="7AEC9CB2"/>
    <w:rsid w:val="7AECD27F"/>
    <w:rsid w:val="7B12EA09"/>
    <w:rsid w:val="7B58F836"/>
    <w:rsid w:val="7B660E04"/>
    <w:rsid w:val="7B6C08FA"/>
    <w:rsid w:val="7B77BB93"/>
    <w:rsid w:val="7B8BFB83"/>
    <w:rsid w:val="7BA4B1A2"/>
    <w:rsid w:val="7BA85958"/>
    <w:rsid w:val="7BAE9357"/>
    <w:rsid w:val="7BB97F97"/>
    <w:rsid w:val="7BD32387"/>
    <w:rsid w:val="7BFAB655"/>
    <w:rsid w:val="7C0F4E8D"/>
    <w:rsid w:val="7C147AE6"/>
    <w:rsid w:val="7C16D82D"/>
    <w:rsid w:val="7C178EFA"/>
    <w:rsid w:val="7C26D8C6"/>
    <w:rsid w:val="7C2B0495"/>
    <w:rsid w:val="7C34FFA3"/>
    <w:rsid w:val="7C3CE6FA"/>
    <w:rsid w:val="7C65C0B3"/>
    <w:rsid w:val="7C66A829"/>
    <w:rsid w:val="7C814618"/>
    <w:rsid w:val="7C8D2CEE"/>
    <w:rsid w:val="7C923EC8"/>
    <w:rsid w:val="7C96F9C1"/>
    <w:rsid w:val="7CA67119"/>
    <w:rsid w:val="7CD97761"/>
    <w:rsid w:val="7D0047C2"/>
    <w:rsid w:val="7D129580"/>
    <w:rsid w:val="7D16EDF0"/>
    <w:rsid w:val="7D2E2BF3"/>
    <w:rsid w:val="7D452A38"/>
    <w:rsid w:val="7D488203"/>
    <w:rsid w:val="7D872F09"/>
    <w:rsid w:val="7D9A6D1D"/>
    <w:rsid w:val="7DA0FFA1"/>
    <w:rsid w:val="7DA1DC5B"/>
    <w:rsid w:val="7DA37D45"/>
    <w:rsid w:val="7DB7314D"/>
    <w:rsid w:val="7DC05095"/>
    <w:rsid w:val="7DC9D185"/>
    <w:rsid w:val="7DD5392A"/>
    <w:rsid w:val="7DD8C34A"/>
    <w:rsid w:val="7DFEDF29"/>
    <w:rsid w:val="7E09D170"/>
    <w:rsid w:val="7E1BF5F1"/>
    <w:rsid w:val="7E23247D"/>
    <w:rsid w:val="7E2EF401"/>
    <w:rsid w:val="7E2F3B57"/>
    <w:rsid w:val="7E4A2B42"/>
    <w:rsid w:val="7E6C2D35"/>
    <w:rsid w:val="7E81B71B"/>
    <w:rsid w:val="7E99E6DE"/>
    <w:rsid w:val="7EA06756"/>
    <w:rsid w:val="7EAB7914"/>
    <w:rsid w:val="7EBB72F0"/>
    <w:rsid w:val="7ECA6BC9"/>
    <w:rsid w:val="7ED12506"/>
    <w:rsid w:val="7EDAD365"/>
    <w:rsid w:val="7EE92F69"/>
    <w:rsid w:val="7EEC8F0A"/>
    <w:rsid w:val="7EEE7DBC"/>
    <w:rsid w:val="7F1DC7AE"/>
    <w:rsid w:val="7F234ACB"/>
    <w:rsid w:val="7F2D748A"/>
    <w:rsid w:val="7F543BB2"/>
    <w:rsid w:val="7F5B6629"/>
    <w:rsid w:val="7F6FF378"/>
    <w:rsid w:val="7F76F812"/>
    <w:rsid w:val="7F796A48"/>
    <w:rsid w:val="7FB0945C"/>
    <w:rsid w:val="7FB7112C"/>
    <w:rsid w:val="7FC1CEE1"/>
    <w:rsid w:val="7FD31712"/>
    <w:rsid w:val="7FDBB4A7"/>
    <w:rsid w:val="7FDDCA25"/>
    <w:rsid w:val="7FDFED7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34AB"/>
  <w15:chartTrackingRefBased/>
  <w15:docId w15:val="{C92F9555-EF3D-4AA3-998F-BD5728A0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60A8"/>
    <w:pPr>
      <w:spacing w:after="0" w:line="240" w:lineRule="auto"/>
      <w:jc w:val="both"/>
    </w:pPr>
    <w:rPr>
      <w:rFonts w:ascii="Times New Roman" w:hAnsi="Times New Roman" w:cs="Times New Roman"/>
    </w:rPr>
  </w:style>
  <w:style w:type="paragraph" w:styleId="Pealkiri1">
    <w:name w:val="heading 1"/>
    <w:basedOn w:val="Normaallaad"/>
    <w:next w:val="Normaallaad"/>
    <w:link w:val="Pealkiri1Mrk"/>
    <w:uiPriority w:val="9"/>
    <w:qFormat/>
    <w:rsid w:val="00F5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5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F53A6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53A6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53A6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53A67"/>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53A67"/>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53A67"/>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53A67"/>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53A6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53A6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F53A6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53A6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53A6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53A6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53A6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53A6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53A6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53A6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53A6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53A6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53A6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53A67"/>
    <w:pPr>
      <w:spacing w:before="160"/>
      <w:jc w:val="center"/>
    </w:pPr>
    <w:rPr>
      <w:i/>
      <w:iCs/>
      <w:color w:val="404040" w:themeColor="text1" w:themeTint="BF"/>
    </w:rPr>
  </w:style>
  <w:style w:type="character" w:customStyle="1" w:styleId="TsitaatMrk">
    <w:name w:val="Tsitaat Märk"/>
    <w:basedOn w:val="Liguvaikefont"/>
    <w:link w:val="Tsitaat"/>
    <w:uiPriority w:val="29"/>
    <w:rsid w:val="00F53A67"/>
    <w:rPr>
      <w:i/>
      <w:iCs/>
      <w:color w:val="404040" w:themeColor="text1" w:themeTint="BF"/>
    </w:rPr>
  </w:style>
  <w:style w:type="paragraph" w:styleId="Loendilik">
    <w:name w:val="List Paragraph"/>
    <w:basedOn w:val="Normaallaad"/>
    <w:uiPriority w:val="34"/>
    <w:qFormat/>
    <w:rsid w:val="00F53A67"/>
    <w:pPr>
      <w:ind w:left="720"/>
      <w:contextualSpacing/>
    </w:pPr>
  </w:style>
  <w:style w:type="character" w:styleId="Selgeltmrgatavrhutus">
    <w:name w:val="Intense Emphasis"/>
    <w:basedOn w:val="Liguvaikefont"/>
    <w:uiPriority w:val="21"/>
    <w:qFormat/>
    <w:rsid w:val="00F53A67"/>
    <w:rPr>
      <w:i/>
      <w:iCs/>
      <w:color w:val="0F4761" w:themeColor="accent1" w:themeShade="BF"/>
    </w:rPr>
  </w:style>
  <w:style w:type="paragraph" w:styleId="Selgeltmrgatavtsitaat">
    <w:name w:val="Intense Quote"/>
    <w:basedOn w:val="Normaallaad"/>
    <w:next w:val="Normaallaad"/>
    <w:link w:val="SelgeltmrgatavtsitaatMrk"/>
    <w:uiPriority w:val="30"/>
    <w:qFormat/>
    <w:rsid w:val="00F5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53A67"/>
    <w:rPr>
      <w:i/>
      <w:iCs/>
      <w:color w:val="0F4761" w:themeColor="accent1" w:themeShade="BF"/>
    </w:rPr>
  </w:style>
  <w:style w:type="character" w:styleId="Selgeltmrgatavviide">
    <w:name w:val="Intense Reference"/>
    <w:basedOn w:val="Liguvaikefont"/>
    <w:uiPriority w:val="32"/>
    <w:qFormat/>
    <w:rsid w:val="00F53A67"/>
    <w:rPr>
      <w:b/>
      <w:bCs/>
      <w:smallCaps/>
      <w:color w:val="0F4761" w:themeColor="accent1" w:themeShade="BF"/>
      <w:spacing w:val="5"/>
    </w:rPr>
  </w:style>
  <w:style w:type="table" w:styleId="Kontuurtabel">
    <w:name w:val="Table Grid"/>
    <w:basedOn w:val="Normaaltabel"/>
    <w:uiPriority w:val="39"/>
    <w:rsid w:val="001A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2A6187"/>
    <w:pPr>
      <w:spacing w:after="0" w:line="240" w:lineRule="auto"/>
    </w:pPr>
    <w:rPr>
      <w:rFonts w:ascii="Times New Roman" w:hAnsi="Times New Roman" w:cs="Times New Roman"/>
    </w:rPr>
  </w:style>
  <w:style w:type="paragraph" w:customStyle="1" w:styleId="Default">
    <w:name w:val="Default"/>
    <w:rsid w:val="000179B5"/>
    <w:pPr>
      <w:autoSpaceDE w:val="0"/>
      <w:autoSpaceDN w:val="0"/>
      <w:adjustRightInd w:val="0"/>
      <w:spacing w:after="0" w:line="240" w:lineRule="auto"/>
    </w:pPr>
    <w:rPr>
      <w:rFonts w:ascii="Arial" w:hAnsi="Arial" w:cs="Arial"/>
      <w:color w:val="000000"/>
      <w:kern w:val="0"/>
    </w:rPr>
  </w:style>
  <w:style w:type="character" w:styleId="Hperlink">
    <w:name w:val="Hyperlink"/>
    <w:basedOn w:val="Liguvaikefont"/>
    <w:uiPriority w:val="99"/>
    <w:unhideWhenUsed/>
    <w:rsid w:val="000179B5"/>
    <w:rPr>
      <w:color w:val="467886" w:themeColor="hyperlink"/>
      <w:u w:val="single"/>
    </w:rPr>
  </w:style>
  <w:style w:type="character" w:styleId="Lahendamatamainimine">
    <w:name w:val="Unresolved Mention"/>
    <w:basedOn w:val="Liguvaikefont"/>
    <w:uiPriority w:val="99"/>
    <w:semiHidden/>
    <w:unhideWhenUsed/>
    <w:rsid w:val="006600F3"/>
    <w:rPr>
      <w:color w:val="605E5C"/>
      <w:shd w:val="clear" w:color="auto" w:fill="E1DFDD"/>
    </w:rPr>
  </w:style>
  <w:style w:type="character" w:styleId="Mainimine">
    <w:name w:val="Mention"/>
    <w:basedOn w:val="Liguvaikefont"/>
    <w:uiPriority w:val="99"/>
    <w:unhideWhenUsed/>
    <w:rsid w:val="00733937"/>
    <w:rPr>
      <w:color w:val="2B579A"/>
      <w:shd w:val="clear" w:color="auto" w:fill="E1DFDD"/>
    </w:rPr>
  </w:style>
  <w:style w:type="paragraph" w:customStyle="1" w:styleId="CommentText1">
    <w:name w:val="Comment Text1"/>
    <w:basedOn w:val="Normaallaad"/>
    <w:link w:val="CommentTextChar"/>
    <w:uiPriority w:val="99"/>
    <w:unhideWhenUsed/>
    <w:rsid w:val="009A468E"/>
    <w:rPr>
      <w:sz w:val="20"/>
      <w:szCs w:val="20"/>
    </w:rPr>
  </w:style>
  <w:style w:type="character" w:customStyle="1" w:styleId="CommentTextChar">
    <w:name w:val="Comment Text Char"/>
    <w:basedOn w:val="Liguvaikefont"/>
    <w:link w:val="CommentText1"/>
    <w:uiPriority w:val="99"/>
    <w:rsid w:val="00713C89"/>
    <w:rPr>
      <w:rFonts w:ascii="Times New Roman" w:hAnsi="Times New Roman" w:cs="Times New Roman"/>
      <w:sz w:val="20"/>
      <w:szCs w:val="20"/>
    </w:rPr>
  </w:style>
  <w:style w:type="character" w:customStyle="1" w:styleId="CommentReference1">
    <w:name w:val="Comment Reference1"/>
    <w:basedOn w:val="Liguvaikefont"/>
    <w:uiPriority w:val="99"/>
    <w:semiHidden/>
    <w:unhideWhenUsed/>
    <w:rsid w:val="009A468E"/>
    <w:rPr>
      <w:sz w:val="16"/>
      <w:szCs w:val="16"/>
    </w:rPr>
  </w:style>
  <w:style w:type="character" w:customStyle="1" w:styleId="CommentSubjectChar">
    <w:name w:val="Comment Subject Char"/>
    <w:basedOn w:val="CommentTextChar"/>
    <w:link w:val="CommentSubject1"/>
    <w:uiPriority w:val="99"/>
    <w:semiHidden/>
    <w:rsid w:val="00713C89"/>
    <w:rPr>
      <w:rFonts w:ascii="Times New Roman" w:hAnsi="Times New Roman" w:cs="Times New Roman"/>
      <w:b/>
      <w:bCs/>
      <w:sz w:val="20"/>
      <w:szCs w:val="20"/>
    </w:rPr>
  </w:style>
  <w:style w:type="paragraph" w:customStyle="1" w:styleId="CommentSubject1">
    <w:name w:val="Comment Subject1"/>
    <w:basedOn w:val="CommentText1"/>
    <w:next w:val="CommentText1"/>
    <w:link w:val="CommentSubjectChar"/>
    <w:uiPriority w:val="99"/>
    <w:semiHidden/>
    <w:unhideWhenUsed/>
    <w:rsid w:val="009A468E"/>
    <w:rPr>
      <w:b/>
      <w:bCs/>
    </w:rPr>
  </w:style>
  <w:style w:type="paragraph" w:styleId="Allmrkusetekst">
    <w:name w:val="footnote text"/>
    <w:basedOn w:val="Normaallaad"/>
    <w:link w:val="AllmrkusetekstMrk"/>
    <w:uiPriority w:val="99"/>
    <w:semiHidden/>
    <w:unhideWhenUsed/>
    <w:rsid w:val="006E2DB3"/>
    <w:rPr>
      <w:sz w:val="20"/>
      <w:szCs w:val="20"/>
    </w:rPr>
  </w:style>
  <w:style w:type="character" w:customStyle="1" w:styleId="AllmrkusetekstMrk">
    <w:name w:val="Allmärkuse tekst Märk"/>
    <w:basedOn w:val="Liguvaikefont"/>
    <w:link w:val="Allmrkusetekst"/>
    <w:uiPriority w:val="99"/>
    <w:semiHidden/>
    <w:rsid w:val="006E2DB3"/>
    <w:rPr>
      <w:rFonts w:ascii="Times New Roman" w:hAnsi="Times New Roman" w:cs="Times New Roman"/>
      <w:sz w:val="20"/>
      <w:szCs w:val="20"/>
    </w:rPr>
  </w:style>
  <w:style w:type="character" w:styleId="Allmrkuseviide">
    <w:name w:val="footnote reference"/>
    <w:basedOn w:val="Liguvaikefont"/>
    <w:uiPriority w:val="99"/>
    <w:semiHidden/>
    <w:unhideWhenUsed/>
    <w:rsid w:val="006E2DB3"/>
    <w:rPr>
      <w:vertAlign w:val="superscript"/>
    </w:rPr>
  </w:style>
  <w:style w:type="paragraph" w:styleId="Pis">
    <w:name w:val="header"/>
    <w:basedOn w:val="Normaallaad"/>
    <w:link w:val="PisMrk"/>
    <w:uiPriority w:val="99"/>
    <w:unhideWhenUsed/>
    <w:rsid w:val="008E53E3"/>
    <w:pPr>
      <w:tabs>
        <w:tab w:val="center" w:pos="4536"/>
        <w:tab w:val="right" w:pos="9072"/>
      </w:tabs>
    </w:pPr>
  </w:style>
  <w:style w:type="character" w:customStyle="1" w:styleId="PisMrk">
    <w:name w:val="Päis Märk"/>
    <w:basedOn w:val="Liguvaikefont"/>
    <w:link w:val="Pis"/>
    <w:uiPriority w:val="99"/>
    <w:rsid w:val="008E53E3"/>
    <w:rPr>
      <w:rFonts w:ascii="Times New Roman" w:hAnsi="Times New Roman" w:cs="Times New Roman"/>
    </w:rPr>
  </w:style>
  <w:style w:type="paragraph" w:styleId="Jalus">
    <w:name w:val="footer"/>
    <w:basedOn w:val="Normaallaad"/>
    <w:link w:val="JalusMrk"/>
    <w:uiPriority w:val="99"/>
    <w:unhideWhenUsed/>
    <w:rsid w:val="008E53E3"/>
    <w:pPr>
      <w:tabs>
        <w:tab w:val="center" w:pos="4536"/>
        <w:tab w:val="right" w:pos="9072"/>
      </w:tabs>
    </w:pPr>
  </w:style>
  <w:style w:type="character" w:customStyle="1" w:styleId="JalusMrk">
    <w:name w:val="Jalus Märk"/>
    <w:basedOn w:val="Liguvaikefont"/>
    <w:link w:val="Jalus"/>
    <w:uiPriority w:val="99"/>
    <w:rsid w:val="008E53E3"/>
    <w:rPr>
      <w:rFonts w:ascii="Times New Roman" w:hAnsi="Times New Roman" w:cs="Times New Roman"/>
    </w:rPr>
  </w:style>
  <w:style w:type="paragraph" w:styleId="Kommentaariteema">
    <w:name w:val="annotation subject"/>
    <w:basedOn w:val="Kommentaaritekst"/>
    <w:next w:val="Kommentaaritekst"/>
    <w:link w:val="KommentaariteemaMrk"/>
    <w:uiPriority w:val="99"/>
    <w:semiHidden/>
    <w:unhideWhenUsed/>
    <w:rsid w:val="001F1ED0"/>
    <w:rPr>
      <w:b/>
      <w:bCs/>
    </w:rPr>
  </w:style>
  <w:style w:type="character" w:customStyle="1" w:styleId="KommentaariteemaMrk">
    <w:name w:val="Kommentaari teema Märk"/>
    <w:basedOn w:val="KommentaaritekstMrk"/>
    <w:link w:val="Kommentaariteema"/>
    <w:uiPriority w:val="99"/>
    <w:semiHidden/>
    <w:rsid w:val="001F1ED0"/>
    <w:rPr>
      <w:rFonts w:ascii="Times New Roman" w:hAnsi="Times New Roman" w:cs="Times New Roman"/>
      <w:b/>
      <w:bCs/>
      <w:sz w:val="20"/>
      <w:szCs w:val="20"/>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ascii="Times New Roman" w:hAnsi="Times New Roman" w:cs="Times New Roman"/>
      <w:sz w:val="20"/>
      <w:szCs w:val="20"/>
    </w:rPr>
  </w:style>
  <w:style w:type="character" w:styleId="Kommentaariviide">
    <w:name w:val="annotation reference"/>
    <w:basedOn w:val="Liguvaikefont"/>
    <w:uiPriority w:val="99"/>
    <w:semiHidden/>
    <w:unhideWhenUsed/>
    <w:rPr>
      <w:sz w:val="16"/>
      <w:szCs w:val="16"/>
    </w:rPr>
  </w:style>
  <w:style w:type="paragraph" w:customStyle="1" w:styleId="CommentText2">
    <w:name w:val="Comment Text2"/>
    <w:basedOn w:val="Normaallaad"/>
    <w:uiPriority w:val="99"/>
    <w:unhideWhenUsed/>
    <w:rsid w:val="001258B6"/>
    <w:rPr>
      <w:sz w:val="20"/>
      <w:szCs w:val="20"/>
    </w:rPr>
  </w:style>
  <w:style w:type="character" w:customStyle="1" w:styleId="CommentReference2">
    <w:name w:val="Comment Reference2"/>
    <w:basedOn w:val="Liguvaikefont"/>
    <w:uiPriority w:val="99"/>
    <w:semiHidden/>
    <w:unhideWhenUsed/>
    <w:rsid w:val="001258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fi.ee/sites/default/files/2024-10/Finantsinspektsiooni%20k%C3%A4siraamat%20vastutustundliku%20krediidi%20v%C3%A4ljastamise%20protsessile.pdf" TargetMode="External"/><Relationship Id="rId1" Type="http://schemas.openxmlformats.org/officeDocument/2006/relationships/hyperlink" Target="https://www.riigikogu.ee/tegevus/eelnoud/eelnou/19cde50e-3b68-4792-970d-18cfe753cb5c/volaoigusseaduse-ja-tarbijakaitseseaduse-muutmise-seadus/" TargetMode="External"/></Relationships>
</file>

<file path=word/documenttasks/documenttasks1.xml><?xml version="1.0" encoding="utf-8"?>
<t:Tasks xmlns:t="http://schemas.microsoft.com/office/tasks/2019/documenttasks" xmlns:oel="http://schemas.microsoft.com/office/2019/extlst">
  <t:Task id="{64166BAC-FA91-454B-97BC-7D73E780A423}">
    <t:Anchor>
      <t:Comment id="1648593805"/>
    </t:Anchor>
    <t:History>
      <t:Event id="{30A48E9E-CC15-4C4C-9642-E1C90F23AA91}" time="2026-04-01T13:58:54.244Z">
        <t:Attribution userId="S::alexandra.koop@justdigi.ee::830b3f3a-715d-47bc-88bc-4828a294e4dc" userProvider="AD" userName="Alexandra Kööp - JUSTDIGI"/>
        <t:Anchor>
          <t:Comment id="1648593805"/>
        </t:Anchor>
        <t:Create/>
      </t:Event>
      <t:Event id="{A964B6BF-251A-4915-9FAF-9A948FC8A510}" time="2026-04-01T13:58:54.244Z">
        <t:Attribution userId="S::alexandra.koop@justdigi.ee::830b3f3a-715d-47bc-88bc-4828a294e4dc" userProvider="AD" userName="Alexandra Kööp - JUSTDIGI"/>
        <t:Anchor>
          <t:Comment id="1648593805"/>
        </t:Anchor>
        <t:Assign userId="S::mirjam.rannula@fin.ee::3126d50f-211c-42a1-8b9d-5cb4553e520b" userProvider="AD" userName="Mirjam Rannula - RAM"/>
      </t:Event>
      <t:Event id="{B8131AAF-2655-4346-925C-9D554155B289}" time="2026-04-01T13:58:54.244Z">
        <t:Attribution userId="S::alexandra.koop@justdigi.ee::830b3f3a-715d-47bc-88bc-4828a294e4dc" userProvider="AD" userName="Alexandra Kööp - JUSTDIGI"/>
        <t:Anchor>
          <t:Comment id="1648593805"/>
        </t:Anchor>
        <t:SetTitle title="@Mirjam Rannula - RAM @Thomas Auväärt - RAM palun vaadake seda kommentaari ka. Pikem selgitus on FI tagasisides. Kattub veidi PL omaga, aga FI siin tahab, et nende identifikaatorite kasutamine oleks vist kohustuslik"/>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312FF-6279-4F1D-A112-8A815900795E}">
  <ds:schemaRefs>
    <ds:schemaRef ds:uri="http://schemas.microsoft.com/sharepoint/v3/contenttype/forms"/>
  </ds:schemaRefs>
</ds:datastoreItem>
</file>

<file path=customXml/itemProps2.xml><?xml version="1.0" encoding="utf-8"?>
<ds:datastoreItem xmlns:ds="http://schemas.openxmlformats.org/officeDocument/2006/customXml" ds:itemID="{FA70E6D7-0A66-438F-9D59-74CF100C07B0}">
  <ds:schemaRefs>
    <ds:schemaRef ds:uri="http://schemas.openxmlformats.org/officeDocument/2006/bibliography"/>
  </ds:schemaRefs>
</ds:datastoreItem>
</file>

<file path=customXml/itemProps3.xml><?xml version="1.0" encoding="utf-8"?>
<ds:datastoreItem xmlns:ds="http://schemas.openxmlformats.org/officeDocument/2006/customXml" ds:itemID="{A049DBED-2275-45BB-8847-A5E4EB5DE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B2C64-77B3-470F-89B1-1E4E20BC5E41}">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62</Pages>
  <Words>29073</Words>
  <Characters>168629</Characters>
  <Application>Microsoft Office Word</Application>
  <DocSecurity>0</DocSecurity>
  <Lines>1405</Lines>
  <Paragraphs>394</Paragraphs>
  <ScaleCrop>false</ScaleCrop>
  <Company/>
  <LinksUpToDate>false</LinksUpToDate>
  <CharactersWithSpaces>197308</CharactersWithSpaces>
  <SharedDoc>false</SharedDoc>
  <HLinks>
    <vt:vector size="18" baseType="variant">
      <vt:variant>
        <vt:i4>524311</vt:i4>
      </vt:variant>
      <vt:variant>
        <vt:i4>0</vt:i4>
      </vt:variant>
      <vt:variant>
        <vt:i4>0</vt:i4>
      </vt:variant>
      <vt:variant>
        <vt:i4>5</vt:i4>
      </vt:variant>
      <vt:variant>
        <vt:lpwstr>https://www.riigiteataja.ee/akt/v%C3%B5s</vt:lpwstr>
      </vt:variant>
      <vt:variant>
        <vt:lpwstr>para403b4</vt:lpwstr>
      </vt:variant>
      <vt:variant>
        <vt:i4>8192032</vt:i4>
      </vt:variant>
      <vt:variant>
        <vt:i4>3</vt:i4>
      </vt:variant>
      <vt:variant>
        <vt:i4>0</vt:i4>
      </vt:variant>
      <vt:variant>
        <vt:i4>5</vt:i4>
      </vt:variant>
      <vt:variant>
        <vt:lpwstr>https://www.fi.ee/sites/default/files/2024-10/Finantsinspektsiooni k%C3%A4siraamat vastutustundliku krediidi v%C3%A4ljastamise protsessile.pdf</vt:lpwstr>
      </vt:variant>
      <vt:variant>
        <vt:lpwstr/>
      </vt:variant>
      <vt:variant>
        <vt:i4>3670139</vt:i4>
      </vt:variant>
      <vt:variant>
        <vt:i4>0</vt:i4>
      </vt:variant>
      <vt:variant>
        <vt:i4>0</vt:i4>
      </vt:variant>
      <vt:variant>
        <vt:i4>5</vt:i4>
      </vt:variant>
      <vt:variant>
        <vt:lpwstr>https://www.riigikogu.ee/tegevus/eelnoud/eelnou/19cde50e-3b68-4792-970d-18cfe753cb5c/volaoigusseaduse-ja-tarbijakaitseseaduse-muutmise-seadus/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Kööp - JUSTDIGI</dc:creator>
  <cp:keywords/>
  <dc:description/>
  <cp:lastModifiedBy>Heili Tõnisson - RK</cp:lastModifiedBy>
  <cp:revision>2872</cp:revision>
  <dcterms:created xsi:type="dcterms:W3CDTF">2026-03-20T03:04:00Z</dcterms:created>
  <dcterms:modified xsi:type="dcterms:W3CDTF">2026-06-10T14:11:00Z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2026-03-18T15:04:52Z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72b99ee4-acd9-41a2-9457-fe335594caa5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